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2C704498" w14:textId="77777777" w:rsidR="00A55C57" w:rsidRPr="00A45272" w:rsidRDefault="00A55C57" w:rsidP="00A55C57">
      <w:pPr>
        <w:spacing w:after="0" w:line="240" w:lineRule="auto"/>
        <w:rPr>
          <w:rFonts w:ascii="Myriad Pro" w:hAnsi="Myriad Pro"/>
          <w:b/>
          <w:sz w:val="24"/>
        </w:rPr>
      </w:pPr>
    </w:p>
    <w:p w14:paraId="6A045355"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42FDD518" w14:textId="77777777" w:rsidR="00A55C57" w:rsidRPr="004D7A75" w:rsidRDefault="00A55C57" w:rsidP="00A55C57">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1EE4E52B" w14:textId="77777777" w:rsidR="00A55C57" w:rsidRPr="00A45272" w:rsidRDefault="00A55C57" w:rsidP="00A55C57">
      <w:pPr>
        <w:pStyle w:val="ListParagraph"/>
        <w:spacing w:after="0" w:line="240" w:lineRule="auto"/>
        <w:ind w:left="360"/>
        <w:rPr>
          <w:rFonts w:ascii="Myriad Pro" w:hAnsi="Myriad Pro"/>
        </w:rPr>
      </w:pPr>
    </w:p>
    <w:p w14:paraId="4E38683B" w14:textId="77777777" w:rsidR="00A55C57" w:rsidRDefault="00A55C57" w:rsidP="00A55C57">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65036F74" w14:textId="77777777" w:rsidR="00A55C57" w:rsidRPr="004D7A75" w:rsidRDefault="00A55C57" w:rsidP="00A55C57">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s="Arial"/>
            <w:color w:val="1155CC"/>
          </w:rPr>
          <w:t>ldesimone@k12.somerville.ma.us</w:t>
        </w:r>
      </w:hyperlink>
    </w:p>
    <w:p w14:paraId="4FD7B50B" w14:textId="77777777" w:rsidR="00A55C57" w:rsidRPr="004D7A75" w:rsidRDefault="00A55C57" w:rsidP="00A55C57">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21494329"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12A23F68"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75674581"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15E26612" w14:textId="77777777" w:rsidR="00A55C57" w:rsidRPr="00A45272" w:rsidRDefault="00A55C57" w:rsidP="00A55C57">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29726BED" w14:textId="77777777" w:rsidR="00A55C57" w:rsidRPr="00A45272" w:rsidRDefault="000B399E" w:rsidP="00A55C57">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A55C57">
        <w:rPr>
          <w:rFonts w:ascii="Myriad Pro" w:hAnsi="Myriad Pro"/>
        </w:rPr>
        <w:tab/>
      </w:r>
      <w:r w:rsidR="00A55C57" w:rsidRPr="00A45272">
        <w:rPr>
          <w:rFonts w:ascii="Myriad Pro" w:hAnsi="Myriad Pro"/>
        </w:rPr>
        <w:t xml:space="preserve">Career academy </w:t>
      </w:r>
    </w:p>
    <w:p w14:paraId="25A31D18"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D9FEBD2" w14:textId="77777777" w:rsidR="00A55C57"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t>Community college</w:t>
      </w:r>
    </w:p>
    <w:p w14:paraId="7B26C9C7"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1A17C61D" w14:textId="77777777" w:rsidR="00A55C57" w:rsidRPr="00A45272" w:rsidRDefault="00A55C57" w:rsidP="00A55C57">
      <w:pPr>
        <w:spacing w:after="0" w:line="240" w:lineRule="auto"/>
        <w:ind w:left="720"/>
        <w:rPr>
          <w:rFonts w:ascii="Myriad Pro" w:hAnsi="Myriad Pro"/>
        </w:rPr>
      </w:pPr>
    </w:p>
    <w:p w14:paraId="1D1812E4" w14:textId="77777777" w:rsidR="00A55C57" w:rsidRPr="00A45272" w:rsidRDefault="00A55C57" w:rsidP="00A55C57">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55C57" w:rsidRPr="00A45272" w14:paraId="7BCA63ED" w14:textId="77777777" w:rsidTr="00AF42C9">
        <w:tc>
          <w:tcPr>
            <w:tcW w:w="9350" w:type="dxa"/>
          </w:tcPr>
          <w:p w14:paraId="3F996BD3" w14:textId="77777777" w:rsidR="00A55C57" w:rsidRPr="00A45272" w:rsidRDefault="00A55C57" w:rsidP="00AF42C9">
            <w:pPr>
              <w:rPr>
                <w:rFonts w:ascii="Myriad Pro" w:hAnsi="Myriad Pro"/>
              </w:rPr>
            </w:pPr>
          </w:p>
        </w:tc>
      </w:tr>
    </w:tbl>
    <w:p w14:paraId="1E6878FB" w14:textId="77777777" w:rsidR="00A55C57" w:rsidRPr="00A45272" w:rsidRDefault="00A55C57" w:rsidP="00A55C57">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B96CC00"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790623C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2881BFB3" w14:textId="6CFA2E4B" w:rsidR="00205609" w:rsidRPr="00E02DE3" w:rsidRDefault="00A402AB" w:rsidP="00205609">
      <w:pPr>
        <w:pStyle w:val="ListParagraph"/>
        <w:numPr>
          <w:ilvl w:val="0"/>
          <w:numId w:val="1"/>
        </w:numPr>
        <w:spacing w:after="0" w:line="240" w:lineRule="auto"/>
        <w:rPr>
          <w:rFonts w:ascii="Myriad Pro" w:hAnsi="Myriad Pro"/>
        </w:rPr>
      </w:pPr>
      <w:r w:rsidRPr="00E02DE3">
        <w:rPr>
          <w:rFonts w:ascii="Myriad Pro" w:hAnsi="Myriad Pro"/>
        </w:rPr>
        <w:lastRenderedPageBreak/>
        <w:t xml:space="preserve">In </w:t>
      </w:r>
      <w:r w:rsidRPr="00E02DE3">
        <w:rPr>
          <w:rFonts w:ascii="Myriad Pro" w:hAnsi="Myriad Pro"/>
          <w:u w:val="single"/>
        </w:rPr>
        <w:t>three sentences or less</w:t>
      </w:r>
      <w:r w:rsidRPr="00E02DE3">
        <w:rPr>
          <w:rFonts w:ascii="Myriad Pro" w:hAnsi="Myriad Pro"/>
        </w:rPr>
        <w:t>, describe your program of study</w:t>
      </w:r>
      <w:r w:rsidR="0013191C" w:rsidRPr="00E02DE3">
        <w:rPr>
          <w:rFonts w:ascii="Myriad Pro" w:hAnsi="Myriad Pro"/>
        </w:rPr>
        <w:t>, including the secondary and postsecondary components</w:t>
      </w:r>
      <w:r w:rsidR="00B30A12" w:rsidRPr="00E02DE3">
        <w:rPr>
          <w:rFonts w:ascii="Myriad Pro" w:hAnsi="Myriad Pro"/>
        </w:rPr>
        <w:t xml:space="preserve"> and how long the program of study has been in place</w:t>
      </w:r>
      <w:r w:rsidRPr="00E02DE3">
        <w:rPr>
          <w:rFonts w:ascii="Myriad Pro" w:hAnsi="Myriad Pro"/>
        </w:rPr>
        <w:t xml:space="preserve">. </w:t>
      </w:r>
      <w:r w:rsidR="00AF42C9" w:rsidRPr="00E02DE3">
        <w:rPr>
          <w:rFonts w:ascii="Myriad Pro" w:hAnsi="Myriad Pro"/>
        </w:rPr>
        <w:br/>
      </w:r>
      <w:r w:rsidR="00AF42C9" w:rsidRPr="00E02DE3">
        <w:rPr>
          <w:rFonts w:ascii="Myriad Pro" w:hAnsi="Myriad Pro"/>
        </w:rPr>
        <w:br/>
      </w:r>
      <w:r w:rsidR="00AF42C9" w:rsidRPr="00025061">
        <w:t xml:space="preserve">SHS/CTE is a comprehensive High School that has offered CTE since 1930. We offer 14 career majors and place 99% of our students.  </w:t>
      </w:r>
      <w:r w:rsidR="00E02DE3">
        <w:t xml:space="preserve">The Transportation and Distribution Cluster represented at SHS is </w:t>
      </w:r>
      <w:r w:rsidR="00C421A6" w:rsidRPr="00E02DE3">
        <w:rPr>
          <w:rFonts w:ascii="Myriad Pro" w:hAnsi="Myriad Pro"/>
        </w:rPr>
        <w:t>Automotive Technology</w:t>
      </w:r>
      <w:r w:rsidR="00E02DE3" w:rsidRPr="00E02DE3">
        <w:rPr>
          <w:rFonts w:ascii="Myriad Pro" w:hAnsi="Myriad Pro"/>
        </w:rPr>
        <w:t>.  A program that has been thriving for over 20 years.</w:t>
      </w:r>
      <w:r w:rsidR="00205609" w:rsidRPr="00E02DE3">
        <w:rPr>
          <w:rFonts w:ascii="Myriad Pro" w:hAnsi="Myriad Pro"/>
        </w:rPr>
        <w:br/>
      </w:r>
      <w:r w:rsidR="00205609" w:rsidRPr="00E02DE3">
        <w:rPr>
          <w:rFonts w:ascii="Myriad Pro" w:hAnsi="Myriad Pro"/>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AEA1DD" w:rsidR="00F5223D" w:rsidRDefault="00F5223D" w:rsidP="00F5223D">
      <w:pPr>
        <w:spacing w:after="0" w:line="240" w:lineRule="auto"/>
        <w:rPr>
          <w:rFonts w:ascii="Myriad Pro" w:hAnsi="Myriad Pro"/>
        </w:rPr>
      </w:pPr>
      <w:r>
        <w:rPr>
          <w:rFonts w:ascii="MS Gothic" w:eastAsia="MS Gothic" w:hAnsi="MS Gothic"/>
        </w:rPr>
        <w:tab/>
      </w:r>
      <w:sdt>
        <w:sdtPr>
          <w:id w:val="-903132729"/>
          <w14:checkbox>
            <w14:checked w14:val="1"/>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78446BF" w:rsidR="00A45272" w:rsidRPr="00F5223D" w:rsidRDefault="00F5223D" w:rsidP="00F5223D">
      <w:pPr>
        <w:spacing w:after="0" w:line="240" w:lineRule="auto"/>
        <w:rPr>
          <w:rFonts w:ascii="Myriad Pro" w:hAnsi="Myriad Pro"/>
        </w:rPr>
      </w:pPr>
      <w:r>
        <w:tab/>
      </w:r>
      <w:sdt>
        <w:sdtPr>
          <w:rPr>
            <w:rFonts w:ascii="MS Gothic" w:eastAsia="MS Gothic" w:hAnsi="MS Gothic"/>
          </w:rPr>
          <w:id w:val="1325552106"/>
          <w14:checkbox>
            <w14:checked w14:val="0"/>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3C07339" w14:textId="40C46768" w:rsidR="00F47852" w:rsidRPr="007B774E" w:rsidRDefault="007D151A" w:rsidP="00F47852">
      <w:pPr>
        <w:pStyle w:val="ListParagraph"/>
        <w:numPr>
          <w:ilvl w:val="0"/>
          <w:numId w:val="1"/>
        </w:numPr>
        <w:spacing w:after="0" w:line="240" w:lineRule="auto"/>
        <w:rPr>
          <w:rFonts w:ascii="Myriad Pro" w:hAnsi="Myriad Pro"/>
        </w:rPr>
      </w:pPr>
      <w:r w:rsidRPr="00153C91">
        <w:rPr>
          <w:rFonts w:ascii="Myriad Pro" w:hAnsi="Myriad Pro"/>
        </w:rPr>
        <w:t xml:space="preserve">Please describe your program of study’s </w:t>
      </w:r>
      <w:r w:rsidR="001D2A42" w:rsidRPr="00153C91">
        <w:rPr>
          <w:rFonts w:ascii="Myriad Pro" w:hAnsi="Myriad Pro"/>
        </w:rPr>
        <w:t>demographic and outcome</w:t>
      </w:r>
      <w:r w:rsidR="00F77DFF" w:rsidRPr="00153C91">
        <w:rPr>
          <w:rFonts w:ascii="Myriad Pro" w:hAnsi="Myriad Pro"/>
        </w:rPr>
        <w:t xml:space="preserve"> </w:t>
      </w:r>
      <w:r w:rsidR="001D2A42" w:rsidRPr="00153C91">
        <w:rPr>
          <w:rFonts w:ascii="Myriad Pro" w:hAnsi="Myriad Pro"/>
        </w:rPr>
        <w:t xml:space="preserve">data for the most recent </w:t>
      </w:r>
      <w:r w:rsidR="00E56057" w:rsidRPr="00153C91">
        <w:rPr>
          <w:rFonts w:ascii="Myriad Pro" w:hAnsi="Myriad Pro"/>
        </w:rPr>
        <w:t xml:space="preserve">academic </w:t>
      </w:r>
      <w:r w:rsidR="001D2A42" w:rsidRPr="00153C91">
        <w:rPr>
          <w:rFonts w:ascii="Myriad Pro" w:hAnsi="Myriad Pro"/>
        </w:rPr>
        <w:t>year(s)</w:t>
      </w:r>
      <w:r w:rsidR="00F77DFF" w:rsidRPr="00153C91">
        <w:rPr>
          <w:rFonts w:ascii="Myriad Pro" w:hAnsi="Myriad Pro"/>
        </w:rPr>
        <w:t xml:space="preserve">. </w:t>
      </w:r>
      <w:r w:rsidR="00F1357A" w:rsidRPr="00153C91">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153C91">
        <w:t xml:space="preserve"> </w:t>
      </w:r>
      <w:r w:rsidR="000B7607" w:rsidRPr="00153C91">
        <w:rPr>
          <w:rFonts w:ascii="Myriad Pro" w:hAnsi="Myriad Pro"/>
        </w:rPr>
        <w:t>Applications that do not include data to support positive impact on student achievement will not be eligible for consideration.</w:t>
      </w:r>
      <w:r w:rsidR="00F5223D" w:rsidRPr="00153C91">
        <w:rPr>
          <w:rFonts w:ascii="Myriad Pro" w:hAnsi="Myriad Pro"/>
        </w:rPr>
        <w:t xml:space="preserve"> (</w:t>
      </w:r>
      <w:r w:rsidR="00F5223D" w:rsidRPr="00153C91">
        <w:rPr>
          <w:rFonts w:ascii="Myriad Pro" w:hAnsi="Myriad Pro"/>
          <w:u w:val="single"/>
        </w:rPr>
        <w:t>100 word limit</w:t>
      </w:r>
      <w:r w:rsidR="00F5223D" w:rsidRPr="00153C91">
        <w:rPr>
          <w:rFonts w:ascii="Myriad Pro" w:hAnsi="Myriad Pro"/>
        </w:rPr>
        <w:t>)</w:t>
      </w:r>
      <w:r w:rsidR="00AF42C9" w:rsidRPr="00AF42C9">
        <w:rPr>
          <w:rFonts w:ascii="Myriad Pro" w:hAnsi="Myriad Pro"/>
        </w:rPr>
        <w:br/>
      </w:r>
      <w:r w:rsidR="00AF42C9" w:rsidRPr="00AF42C9">
        <w:rPr>
          <w:rFonts w:ascii="Myriad Pro" w:hAnsi="Myriad Pro"/>
        </w:rPr>
        <w:br/>
      </w:r>
      <w:r w:rsidR="007B774E">
        <w:rPr>
          <w:rFonts w:ascii="Myriad Pro" w:hAnsi="Myriad Pro"/>
        </w:rPr>
        <w:t xml:space="preserve">The schools demographic comprises of an average of 75% low-income students, and an average of 65% minorities. Our community has a growth of students with disabilities and English Language Learners throughout the years as well. This does not stop our student growth. Currently CTE graduates </w:t>
      </w:r>
      <w:r w:rsidR="00153C91">
        <w:rPr>
          <w:rFonts w:ascii="Myriad Pro" w:hAnsi="Myriad Pro"/>
        </w:rPr>
        <w:t>100</w:t>
      </w:r>
      <w:r w:rsidR="007B774E" w:rsidRPr="00153C91">
        <w:rPr>
          <w:rFonts w:ascii="Myriad Pro" w:hAnsi="Myriad Pro"/>
        </w:rPr>
        <w:t>%</w:t>
      </w:r>
      <w:r w:rsidR="007B774E">
        <w:rPr>
          <w:rFonts w:ascii="Myriad Pro" w:hAnsi="Myriad Pro"/>
        </w:rPr>
        <w:t xml:space="preserve"> of their students, and </w:t>
      </w:r>
      <w:r w:rsidR="00153C91">
        <w:rPr>
          <w:rFonts w:ascii="Myriad Pro" w:hAnsi="Myriad Pro"/>
        </w:rPr>
        <w:t>our Automotive Technology program</w:t>
      </w:r>
      <w:r w:rsidR="007B774E">
        <w:rPr>
          <w:rFonts w:ascii="Myriad Pro" w:hAnsi="Myriad Pro"/>
        </w:rPr>
        <w:t xml:space="preserve"> is proud to have graduated </w:t>
      </w:r>
      <w:r w:rsidR="00153C91">
        <w:rPr>
          <w:rFonts w:ascii="Myriad Pro" w:hAnsi="Myriad Pro"/>
        </w:rPr>
        <w:t>100</w:t>
      </w:r>
      <w:r w:rsidR="007B774E" w:rsidRPr="00153C91">
        <w:rPr>
          <w:rFonts w:ascii="Myriad Pro" w:hAnsi="Myriad Pro"/>
        </w:rPr>
        <w:t>%</w:t>
      </w:r>
      <w:r w:rsidR="007B774E">
        <w:rPr>
          <w:rFonts w:ascii="Myriad Pro" w:hAnsi="Myriad Pro"/>
        </w:rPr>
        <w:t xml:space="preserve"> of our students with dual enrollment or AP courses in their transcripts. Further our students have garnered industry related certification or licensing.</w:t>
      </w:r>
      <w:r w:rsidR="00153C91">
        <w:rPr>
          <w:rFonts w:ascii="Myriad Pro" w:hAnsi="Myriad Pro"/>
        </w:rPr>
        <w:t xml:space="preserve"> See the attached PDF chart of our data.</w:t>
      </w:r>
      <w:r w:rsidR="004D7D93" w:rsidRPr="00AF42C9">
        <w:rPr>
          <w:rFonts w:ascii="Myriad Pro" w:hAnsi="Myriad Pro"/>
        </w:rPr>
        <w:br/>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60D10EE3" w14:textId="77777777" w:rsidR="00AF42C9" w:rsidRDefault="00AF42C9" w:rsidP="00AF42C9">
      <w:pPr>
        <w:ind w:left="72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4E3A9E55" w14:textId="4F3501A4" w:rsidR="00D74E2F" w:rsidRPr="00AF42C9" w:rsidRDefault="00AF42C9" w:rsidP="00AF42C9">
      <w:pPr>
        <w:spacing w:after="0" w:line="240" w:lineRule="auto"/>
        <w:rPr>
          <w:rFonts w:ascii="Myriad Pro" w:hAnsi="Myriad Pro"/>
        </w:rPr>
      </w:pPr>
      <w:r w:rsidRPr="00043D9C">
        <w:t>Aspen by Follett Software Company. Follett School Solutions. ASPEN, 2017</w:t>
      </w:r>
      <w:r>
        <w:t>.</w:t>
      </w: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2F456BEC"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sidR="00AF42C9">
        <w:rPr>
          <w:rFonts w:ascii="Myriad Pro" w:hAnsi="Myriad Pro"/>
        </w:rPr>
        <w:br/>
      </w:r>
      <w:r w:rsidR="00AF42C9">
        <w:rPr>
          <w:rFonts w:ascii="Myriad Pro" w:hAnsi="Myriad Pro"/>
        </w:rPr>
        <w:br/>
      </w:r>
      <w:r w:rsidR="00AF42C9" w:rsidRPr="00B25227">
        <w:rPr>
          <w:shd w:val="clear" w:color="auto" w:fill="FFFFFF"/>
        </w:rPr>
        <w:t>We have an aggressive CTE educati</w:t>
      </w:r>
      <w:r w:rsidR="00AF42C9">
        <w:rPr>
          <w:shd w:val="clear" w:color="auto" w:fill="FFFFFF"/>
        </w:rPr>
        <w:t>on program. At SHS, we train 30-</w:t>
      </w:r>
      <w:r w:rsidR="00AF42C9" w:rsidRPr="00B25227">
        <w:rPr>
          <w:shd w:val="clear" w:color="auto" w:fill="FFFFFF"/>
        </w:rPr>
        <w:t xml:space="preserve">grade 11&amp;12 student </w:t>
      </w:r>
      <w:r w:rsidR="00AF42C9" w:rsidRPr="00B25227">
        <w:rPr>
          <w:shd w:val="clear" w:color="auto" w:fill="FFFFFF"/>
        </w:rPr>
        <w:lastRenderedPageBreak/>
        <w:t>ambassadors to go out to the six k-8 schools in the district during one week in February. CTE educators accompany these student ambassadors. These students are bilingual and all of the presentation (slides, discussions) are in multiple-languages. All of the recruiting handouts, including 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r>
        <w:rPr>
          <w:rFonts w:ascii="Myriad Pro" w:hAnsi="Myriad Pro"/>
        </w:rPr>
        <w:br/>
      </w:r>
    </w:p>
    <w:p w14:paraId="40683BA6" w14:textId="77777777" w:rsidR="009A4071" w:rsidRPr="00096FFF" w:rsidRDefault="009A4071" w:rsidP="00096FFF">
      <w:pPr>
        <w:spacing w:after="0" w:line="240" w:lineRule="auto"/>
        <w:rPr>
          <w:rFonts w:ascii="Myriad Pro" w:hAnsi="Myriad Pro"/>
        </w:rPr>
      </w:pPr>
    </w:p>
    <w:p w14:paraId="3353B410" w14:textId="77777777" w:rsidR="00AF42C9" w:rsidRDefault="00EE1E9B" w:rsidP="00AF42C9">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AF42C9">
        <w:rPr>
          <w:rFonts w:ascii="Myriad Pro" w:hAnsi="Myriad Pro"/>
        </w:rPr>
        <w:br/>
      </w:r>
      <w:r w:rsidR="00AF42C9">
        <w:rPr>
          <w:rFonts w:ascii="Myriad Pro" w:hAnsi="Myriad Pro"/>
        </w:rPr>
        <w:br/>
      </w:r>
      <w:r w:rsidR="00AF42C9"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p>
    <w:p w14:paraId="1841485C" w14:textId="77777777" w:rsidR="00AF42C9" w:rsidRPr="00AF42C9" w:rsidRDefault="00AF42C9" w:rsidP="00AF42C9">
      <w:pPr>
        <w:spacing w:after="0" w:line="240" w:lineRule="auto"/>
        <w:rPr>
          <w:rFonts w:ascii="Myriad Pro" w:hAnsi="Myriad Pro"/>
        </w:rPr>
      </w:pPr>
    </w:p>
    <w:p w14:paraId="78BFC132" w14:textId="2D2FA7B3" w:rsidR="00AF42C9" w:rsidRPr="00AF42C9" w:rsidRDefault="00053D79" w:rsidP="00AF42C9">
      <w:pPr>
        <w:pStyle w:val="ListParagraph"/>
        <w:numPr>
          <w:ilvl w:val="0"/>
          <w:numId w:val="1"/>
        </w:numPr>
        <w:spacing w:after="0" w:line="240" w:lineRule="auto"/>
        <w:rPr>
          <w:rFonts w:ascii="Myriad Pro" w:hAnsi="Myriad Pro"/>
        </w:rPr>
      </w:pPr>
      <w:r w:rsidRPr="00AF42C9">
        <w:rPr>
          <w:rFonts w:ascii="Myriad Pro" w:hAnsi="Myriad Pro"/>
        </w:rPr>
        <w:t xml:space="preserve">What activities does your school or institution do to recruit </w:t>
      </w:r>
      <w:r w:rsidR="009A4071" w:rsidRPr="00AF42C9">
        <w:rPr>
          <w:rFonts w:ascii="Myriad Pro" w:hAnsi="Myriad Pro"/>
        </w:rPr>
        <w:t xml:space="preserve">elementary, middle, high school </w:t>
      </w:r>
      <w:r w:rsidRPr="00AF42C9">
        <w:rPr>
          <w:rFonts w:ascii="Myriad Pro" w:hAnsi="Myriad Pro"/>
        </w:rPr>
        <w:t xml:space="preserve">students </w:t>
      </w:r>
      <w:r w:rsidR="009A4071" w:rsidRPr="00AF42C9">
        <w:rPr>
          <w:rFonts w:ascii="Myriad Pro" w:hAnsi="Myriad Pro"/>
        </w:rPr>
        <w:t xml:space="preserve">and/or adult learners </w:t>
      </w:r>
      <w:r w:rsidRPr="00AF42C9">
        <w:rPr>
          <w:rFonts w:ascii="Myriad Pro" w:hAnsi="Myriad Pro"/>
        </w:rPr>
        <w:t>into the program of study? Please provide examples. (</w:t>
      </w:r>
      <w:r w:rsidRPr="00AF42C9">
        <w:rPr>
          <w:rFonts w:ascii="Myriad Pro" w:hAnsi="Myriad Pro"/>
          <w:u w:val="single"/>
        </w:rPr>
        <w:t>150 word limit</w:t>
      </w:r>
      <w:r w:rsidRPr="00AF42C9">
        <w:rPr>
          <w:rFonts w:ascii="Myriad Pro" w:hAnsi="Myriad Pro"/>
        </w:rPr>
        <w:t>)</w:t>
      </w:r>
      <w:r w:rsidR="00AF42C9" w:rsidRPr="00AF42C9">
        <w:rPr>
          <w:rFonts w:ascii="Myriad Pro" w:hAnsi="Myriad Pro"/>
        </w:rPr>
        <w:t xml:space="preserve">  </w:t>
      </w:r>
      <w:r w:rsidR="00AF42C9" w:rsidRPr="00AF42C9">
        <w:rPr>
          <w:rFonts w:ascii="Myriad Pro" w:hAnsi="Myriad Pro"/>
        </w:rPr>
        <w:br/>
      </w:r>
      <w:r w:rsidR="00AF42C9" w:rsidRPr="00AF42C9">
        <w:rPr>
          <w:rFonts w:ascii="Myriad Pro" w:hAnsi="Myriad Pro"/>
        </w:rPr>
        <w:br/>
      </w:r>
      <w:r w:rsidR="00AF42C9" w:rsidRPr="00B25227">
        <w:t xml:space="preserve">The Somerville CTE program has established a recruitment program that begins with elementary schools tours. Throughout the school year </w:t>
      </w:r>
      <w:r w:rsidR="00AF42C9" w:rsidRPr="00AF42C9">
        <w:rPr>
          <w:rFonts w:cs="Arial"/>
          <w:color w:val="000000"/>
        </w:rPr>
        <w:t>8</w:t>
      </w:r>
      <w:r w:rsidR="00AF42C9" w:rsidRPr="00AF42C9">
        <w:rPr>
          <w:rFonts w:cs="Arial"/>
          <w:color w:val="000000"/>
          <w:vertAlign w:val="superscript"/>
        </w:rPr>
        <w:t>th</w:t>
      </w:r>
      <w:r w:rsidR="00AF42C9" w:rsidRPr="00AF42C9">
        <w:rPr>
          <w:rFonts w:cs="Arial"/>
          <w:color w:val="000000"/>
        </w:rPr>
        <w:t xml:space="preserve"> grade students visit Somerville High School and also tour CTE exclusively. This tour consists of going into each program available in CTE and allow students to see the classes in action. Many 8</w:t>
      </w:r>
      <w:r w:rsidR="00AF42C9" w:rsidRPr="00AF42C9">
        <w:rPr>
          <w:rFonts w:cs="Arial"/>
          <w:color w:val="000000"/>
          <w:vertAlign w:val="superscript"/>
        </w:rPr>
        <w:t>th</w:t>
      </w:r>
      <w:r w:rsidR="00AF42C9" w:rsidRPr="00AF42C9">
        <w:rPr>
          <w:rFonts w:cs="Arial"/>
          <w:color w:val="000000"/>
        </w:rPr>
        <w:t xml:space="preserve"> grade students engage with staff and students and ask questions to further understand what is offered, how, and the career pathways. </w:t>
      </w:r>
    </w:p>
    <w:p w14:paraId="6F63A51B" w14:textId="77777777" w:rsidR="00AF42C9" w:rsidRPr="00025061" w:rsidRDefault="00AF42C9" w:rsidP="00AF42C9">
      <w:pPr>
        <w:pStyle w:val="ListParagraph"/>
        <w:ind w:left="360"/>
        <w:rPr>
          <w:rFonts w:cs="Arial"/>
          <w:color w:val="000000"/>
        </w:rPr>
      </w:pPr>
    </w:p>
    <w:p w14:paraId="1BB14327" w14:textId="6E81B5A9" w:rsidR="00E51805" w:rsidRPr="00A45272" w:rsidRDefault="00AF42C9" w:rsidP="00AF42C9">
      <w:pPr>
        <w:pStyle w:val="ListParagraph"/>
        <w:spacing w:after="0" w:line="240" w:lineRule="auto"/>
        <w:ind w:left="360"/>
        <w:rPr>
          <w:rFonts w:ascii="Myriad Pro" w:hAnsi="Myriad Pro"/>
        </w:rPr>
      </w:pPr>
      <w:r w:rsidRPr="00025061">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025061">
        <w:rPr>
          <w:rFonts w:cs="Arial"/>
          <w:color w:val="000000"/>
          <w:vertAlign w:val="superscript"/>
        </w:rPr>
        <w:t>th</w:t>
      </w:r>
      <w:r w:rsidRPr="00025061">
        <w:rPr>
          <w:rFonts w:cs="Arial"/>
          <w:color w:val="000000"/>
        </w:rPr>
        <w:t xml:space="preserve"> grade classrooms. Following this students of all ages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r w:rsidR="00053D79">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62EF74DD" w14:textId="34BC4863" w:rsidR="00AF42C9" w:rsidRPr="007A2B3F" w:rsidRDefault="000E1010" w:rsidP="007A2B3F">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007A2B3F">
        <w:rPr>
          <w:rFonts w:ascii="Myriad Pro" w:hAnsi="Myriad Pro"/>
        </w:rPr>
        <w:br/>
      </w:r>
      <w:r w:rsidR="007A2B3F">
        <w:rPr>
          <w:rFonts w:ascii="Myriad Pro" w:hAnsi="Myriad Pro"/>
        </w:rPr>
        <w:br/>
      </w:r>
      <w:r w:rsidR="007A2B3F">
        <w:t xml:space="preserve">Somerville High School is proud to be a part of DECA and </w:t>
      </w:r>
      <w:proofErr w:type="spellStart"/>
      <w:r w:rsidR="007A2B3F">
        <w:t>SkillsUSA</w:t>
      </w:r>
      <w:proofErr w:type="spellEnd"/>
      <w:r w:rsidR="007A2B3F">
        <w:t xml:space="preserve">. </w:t>
      </w:r>
      <w:r w:rsidR="007A2B3F" w:rsidRPr="000D0250">
        <w:t>DECA is an international association of high school students</w:t>
      </w:r>
      <w:r w:rsidR="007A2B3F">
        <w:t>,</w:t>
      </w:r>
      <w:r w:rsidR="007A2B3F" w:rsidRPr="000D0250">
        <w:t xml:space="preserve"> which develops business</w:t>
      </w:r>
      <w:r w:rsidR="007A2B3F">
        <w:t xml:space="preserve"> </w:t>
      </w:r>
      <w:r w:rsidR="007A2B3F" w:rsidRPr="000D0250">
        <w:t>and lea</w:t>
      </w:r>
      <w:r w:rsidR="007A2B3F">
        <w:t xml:space="preserve">dership skills. </w:t>
      </w:r>
      <w:proofErr w:type="spellStart"/>
      <w:r w:rsidR="007A2B3F">
        <w:t>SkillsUSA</w:t>
      </w:r>
      <w:proofErr w:type="spellEnd"/>
      <w:r w:rsidR="007A2B3F">
        <w:t xml:space="preserve"> has been a student run chapter since 2013. Students have participated and qualified in state competitions and have won bronze medals.</w:t>
      </w:r>
    </w:p>
    <w:p w14:paraId="347EE1E3" w14:textId="77777777"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r>
        <w:rPr>
          <w:rFonts w:ascii="Myriad Pro" w:hAnsi="Myriad Pro"/>
        </w:rPr>
        <w:br/>
      </w:r>
      <w:r>
        <w:rPr>
          <w:rFonts w:ascii="Myriad Pro" w:hAnsi="Myriad Pro"/>
        </w:rPr>
        <w:lastRenderedPageBreak/>
        <w:br/>
      </w:r>
      <w:r>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4738E939" w14:textId="79789991" w:rsidR="0004482D" w:rsidRPr="00AF42C9" w:rsidRDefault="00E51805" w:rsidP="00D74E2F">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r w:rsidR="00AF42C9">
        <w:rPr>
          <w:rFonts w:ascii="Myriad Pro" w:hAnsi="Myriad Pro"/>
        </w:rPr>
        <w:t xml:space="preserve"> </w:t>
      </w:r>
      <w:r w:rsidR="00AF42C9">
        <w:rPr>
          <w:rFonts w:ascii="Myriad Pro" w:hAnsi="Myriad Pro"/>
        </w:rPr>
        <w:br/>
      </w:r>
      <w:r w:rsidR="00AF42C9">
        <w:rPr>
          <w:rFonts w:ascii="Myriad Pro" w:hAnsi="Myriad Pro"/>
        </w:rPr>
        <w:br/>
      </w:r>
      <w:r w:rsidR="00AF42C9" w:rsidRPr="00B25227">
        <w:t>This full year exploratory program is designed to help students learn about their talents and interests relative to a variety of career and technical programs through active participation. Students will explore all 12-career majors, one at a time in 10-day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w:t>
      </w:r>
      <w:r w:rsidR="00AF42C9">
        <w:t>fessionalism and Employability.</w:t>
      </w:r>
      <w:r w:rsidR="00AF42C9">
        <w:br/>
      </w:r>
      <w:r w:rsidR="00AF42C9" w:rsidRPr="00B25227">
        <w:t>Once students have selected their program of study, educators then work on student’s program specific pathway</w:t>
      </w:r>
      <w:r w:rsidR="00AF42C9">
        <w:t>s</w:t>
      </w: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01D45760"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AF42C9">
        <w:rPr>
          <w:rFonts w:ascii="Myriad Pro" w:hAnsi="Myriad Pro"/>
        </w:rPr>
        <w:br/>
        <w:t xml:space="preserve">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w:t>
      </w:r>
      <w:r w:rsidR="00AF42C9">
        <w:rPr>
          <w:rFonts w:ascii="Myriad Pro" w:hAnsi="Myriad Pro"/>
        </w:rPr>
        <w:lastRenderedPageBreak/>
        <w:t>growth.</w:t>
      </w:r>
      <w:r w:rsidR="00AF42C9">
        <w:rPr>
          <w:rFonts w:ascii="Myriad Pro" w:hAnsi="Myriad Pro"/>
        </w:rPr>
        <w:br/>
      </w:r>
    </w:p>
    <w:p w14:paraId="43604ED0" w14:textId="14009C00"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AF42C9">
        <w:rPr>
          <w:rFonts w:ascii="Myriad Pro" w:hAnsi="Myriad Pro"/>
        </w:rPr>
        <w:br/>
      </w:r>
      <w:r w:rsidR="00AF42C9">
        <w:t xml:space="preserve">Students from either program who need economic relief to participate are helped through a Student Allowance Fund or through an application through </w:t>
      </w:r>
      <w:proofErr w:type="spellStart"/>
      <w:r w:rsidR="00AF42C9">
        <w:t>MassChild</w:t>
      </w:r>
      <w:proofErr w:type="spellEnd"/>
      <w:r w:rsidR="00AF42C9">
        <w:t>.</w:t>
      </w:r>
      <w:r w:rsidR="00AF42C9">
        <w:br/>
      </w:r>
    </w:p>
    <w:p w14:paraId="603D49CE" w14:textId="77777777" w:rsidR="00E02DE3" w:rsidRDefault="000913CC" w:rsidP="00E02DE3">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r w:rsidR="00AF42C9">
        <w:rPr>
          <w:rFonts w:ascii="Myriad Pro" w:hAnsi="Myriad Pro"/>
        </w:rPr>
        <w:br/>
        <w:t>Programs throughout CTE prepare students for postsecondary education with articulation agreements with school programs, and maintaining wrap-around services in order to prevent each student from falling behind. Students are encouraged through their experience as a high school student all around to better their future.</w:t>
      </w:r>
      <w:r w:rsidR="00AF42C9">
        <w:rPr>
          <w:rFonts w:ascii="Myriad Pro" w:hAnsi="Myriad Pro"/>
        </w:rPr>
        <w:br/>
      </w:r>
    </w:p>
    <w:p w14:paraId="2A08DF48" w14:textId="77777777" w:rsidR="00E02DE3" w:rsidRDefault="000B7607" w:rsidP="00E02DE3">
      <w:pPr>
        <w:pStyle w:val="ListParagraph"/>
        <w:numPr>
          <w:ilvl w:val="1"/>
          <w:numId w:val="1"/>
        </w:numPr>
        <w:spacing w:after="0" w:line="240" w:lineRule="auto"/>
        <w:rPr>
          <w:rFonts w:ascii="Myriad Pro" w:hAnsi="Myriad Pro"/>
        </w:rPr>
      </w:pPr>
      <w:r w:rsidRPr="00E02DE3">
        <w:rPr>
          <w:rFonts w:ascii="Myriad Pro" w:hAnsi="Myriad Pro"/>
        </w:rPr>
        <w:t xml:space="preserve">How were both secondary and postsecondary educators involved in the development and/or maintenance of the program of study? </w:t>
      </w:r>
      <w:r w:rsidR="00A45272" w:rsidRPr="00E02DE3">
        <w:rPr>
          <w:rFonts w:ascii="Myriad Pro" w:hAnsi="Myriad Pro"/>
        </w:rPr>
        <w:t>(</w:t>
      </w:r>
      <w:r w:rsidR="000913CC" w:rsidRPr="00E02DE3">
        <w:rPr>
          <w:rFonts w:ascii="Myriad Pro" w:hAnsi="Myriad Pro"/>
          <w:u w:val="single"/>
        </w:rPr>
        <w:t>5</w:t>
      </w:r>
      <w:r w:rsidRPr="00E02DE3">
        <w:rPr>
          <w:rFonts w:ascii="Myriad Pro" w:hAnsi="Myriad Pro"/>
          <w:u w:val="single"/>
        </w:rPr>
        <w:t>00</w:t>
      </w:r>
      <w:r w:rsidR="00A45272" w:rsidRPr="00E02DE3">
        <w:rPr>
          <w:rFonts w:ascii="Myriad Pro" w:hAnsi="Myriad Pro"/>
          <w:u w:val="single"/>
        </w:rPr>
        <w:t xml:space="preserve"> word limit</w:t>
      </w:r>
      <w:r w:rsidR="00A45272" w:rsidRPr="00E02DE3">
        <w:rPr>
          <w:rFonts w:ascii="Myriad Pro" w:hAnsi="Myriad Pro"/>
        </w:rPr>
        <w:t xml:space="preserve">) </w:t>
      </w:r>
      <w:r w:rsidR="00AF42C9" w:rsidRPr="00E02DE3">
        <w:rPr>
          <w:rFonts w:ascii="Myriad Pro" w:hAnsi="Myriad Pro"/>
        </w:rPr>
        <w:br/>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w:t>
      </w:r>
      <w:r w:rsidR="00E02DE3" w:rsidRPr="00E02DE3">
        <w:rPr>
          <w:rFonts w:ascii="Myriad Pro" w:hAnsi="Myriad Pro"/>
        </w:rPr>
        <w:t xml:space="preserve"> </w:t>
      </w:r>
    </w:p>
    <w:p w14:paraId="5FB882CC" w14:textId="77777777" w:rsidR="00E02DE3" w:rsidRDefault="00E02DE3" w:rsidP="00E02DE3">
      <w:pPr>
        <w:pStyle w:val="ListParagraph"/>
        <w:spacing w:after="0" w:line="240" w:lineRule="auto"/>
        <w:ind w:left="1080"/>
        <w:rPr>
          <w:rFonts w:ascii="Myriad Pro" w:hAnsi="Myriad Pro"/>
        </w:rPr>
      </w:pPr>
    </w:p>
    <w:p w14:paraId="3281AD52" w14:textId="3CE177D2" w:rsidR="00A45272" w:rsidRPr="00A45272" w:rsidRDefault="00E02DE3" w:rsidP="00E02DE3">
      <w:pPr>
        <w:pStyle w:val="ListParagraph"/>
        <w:spacing w:after="0" w:line="240" w:lineRule="auto"/>
        <w:ind w:left="1080"/>
        <w:rPr>
          <w:rFonts w:ascii="Myriad Pro" w:hAnsi="Myriad Pro"/>
        </w:rPr>
      </w:pPr>
      <w:r w:rsidRPr="00E02DE3">
        <w:t>The Automotive Technology Program at Somerville High School is a NATEF</w:t>
      </w:r>
      <w:r>
        <w:t xml:space="preserve"> (National Automotive Technical Education Foundation) certified program in the state of Massachusetts. This means students are on track for ASE certification in this field. This nationally recognized credential is an open door for world wide employment in the automotive industry. Experienced graduates are sought after technicians, who are encouraged to continue both certification and training in a post secondary institution with a major manufacturer as a specialty such as; BMW, Ford, Chrysler or GM. The training on the secondary level is intensive.</w:t>
      </w: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F565F0" w:rsidRDefault="00AC0651" w:rsidP="00AC0651">
      <w:pPr>
        <w:pStyle w:val="ListParagraph"/>
        <w:numPr>
          <w:ilvl w:val="0"/>
          <w:numId w:val="1"/>
        </w:numPr>
        <w:spacing w:after="0" w:line="240" w:lineRule="auto"/>
        <w:rPr>
          <w:rFonts w:ascii="Myriad Pro" w:hAnsi="Myriad Pro"/>
        </w:rPr>
      </w:pPr>
      <w:r w:rsidRPr="00F565F0">
        <w:rPr>
          <w:rFonts w:ascii="Myriad Pro" w:hAnsi="Myriad Pro"/>
        </w:rPr>
        <w:t xml:space="preserve">Which technical, academic and/or employability skill standards does your program of study incorporate at the secondary and/or postsecondary level and how? (Please </w:t>
      </w:r>
      <w:r w:rsidR="000B7607" w:rsidRPr="00F565F0">
        <w:rPr>
          <w:rFonts w:ascii="Myriad Pro" w:hAnsi="Myriad Pro"/>
        </w:rPr>
        <w:t xml:space="preserve">list the standards you use and </w:t>
      </w:r>
      <w:r w:rsidRPr="00F565F0">
        <w:rPr>
          <w:rFonts w:ascii="Myriad Pro" w:hAnsi="Myriad Pro"/>
        </w:rPr>
        <w:t xml:space="preserve">be specific regarding how your program uses industry, national, state </w:t>
      </w:r>
      <w:r w:rsidR="00722285" w:rsidRPr="00F565F0">
        <w:rPr>
          <w:rFonts w:ascii="Myriad Pro" w:hAnsi="Myriad Pro"/>
        </w:rPr>
        <w:t>and/</w:t>
      </w:r>
      <w:r w:rsidRPr="00F565F0">
        <w:rPr>
          <w:rFonts w:ascii="Myriad Pro" w:hAnsi="Myriad Pro"/>
        </w:rPr>
        <w:t>or locally-developed standards) (</w:t>
      </w:r>
      <w:r w:rsidRPr="00F565F0">
        <w:rPr>
          <w:rFonts w:ascii="Myriad Pro" w:hAnsi="Myriad Pro"/>
          <w:u w:val="single"/>
        </w:rPr>
        <w:t>250 word limit</w:t>
      </w:r>
      <w:r w:rsidRPr="00F565F0">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437AEC99" w:rsidR="000B7607" w:rsidRPr="00F565F0" w:rsidRDefault="00F565F0" w:rsidP="00E51805">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1EE3B4DD" w:rsidR="000B7607" w:rsidRPr="00F565F0" w:rsidRDefault="00F565F0" w:rsidP="00E51805">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64FD2F6A" w:rsidR="000B7607" w:rsidRPr="00F565F0" w:rsidRDefault="00F565F0" w:rsidP="00E51805">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3B628366" w:rsidR="00D55E06" w:rsidRPr="00AF42C9"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r w:rsidR="00AF42C9">
        <w:rPr>
          <w:rFonts w:ascii="Myriad Pro" w:hAnsi="Myriad Pro"/>
        </w:rPr>
        <w:br/>
      </w:r>
      <w:r w:rsidR="00AF42C9">
        <w:rPr>
          <w:rFonts w:ascii="Myriad Pro" w:hAnsi="Myriad Pro"/>
        </w:rPr>
        <w:br/>
      </w:r>
      <w:r w:rsidR="00AF42C9" w:rsidRPr="007101B9">
        <w:t>Students meet frequently with their guidance counselors in</w:t>
      </w:r>
      <w:r w:rsidR="00AF42C9">
        <w:t xml:space="preserve"> </w:t>
      </w:r>
      <w:r w:rsidR="00AF42C9" w:rsidRPr="007101B9">
        <w:t>groups in a guidance seminar format. The major topics for</w:t>
      </w:r>
      <w:r w:rsidR="00AF42C9">
        <w:t xml:space="preserve"> </w:t>
      </w:r>
      <w:r w:rsidR="00AF42C9" w:rsidRPr="007101B9">
        <w:t>each grade’s seminars are as follows:</w:t>
      </w:r>
      <w:r w:rsidR="00AF42C9">
        <w:br/>
      </w:r>
      <w:r w:rsidR="00AF42C9" w:rsidRPr="007101B9">
        <w:t>Freshman Year</w:t>
      </w:r>
      <w:r w:rsidR="00AF42C9">
        <w:t xml:space="preserve"> students, b</w:t>
      </w:r>
      <w:r w:rsidR="00AF42C9" w:rsidRPr="007101B9">
        <w:t>egin a Career Plan</w:t>
      </w:r>
      <w:r w:rsidR="00AF42C9">
        <w:t xml:space="preserve">, </w:t>
      </w:r>
      <w:r w:rsidR="00AF42C9" w:rsidRPr="007101B9">
        <w:t>Complete Career Interest Inventory</w:t>
      </w:r>
      <w:r w:rsidR="00AF42C9">
        <w:t xml:space="preserve">, </w:t>
      </w:r>
      <w:r w:rsidR="00AF42C9" w:rsidRPr="007101B9">
        <w:t>Orientation to Career and College Planning</w:t>
      </w:r>
      <w:r w:rsidR="00AF42C9">
        <w:t xml:space="preserve"> </w:t>
      </w:r>
      <w:r w:rsidR="00AF42C9" w:rsidRPr="007101B9">
        <w:t>Materials on the Internet.</w:t>
      </w:r>
      <w:r w:rsidR="00AF42C9">
        <w:t xml:space="preserve"> They learn </w:t>
      </w:r>
      <w:r w:rsidR="00AF42C9" w:rsidRPr="007101B9">
        <w:t>School Success Skills</w:t>
      </w:r>
      <w:r w:rsidR="00AF42C9">
        <w:t xml:space="preserve">, </w:t>
      </w:r>
      <w:r w:rsidR="00AF42C9" w:rsidRPr="007101B9">
        <w:t>Setting Personal and Academic Goals</w:t>
      </w:r>
      <w:r w:rsidR="00AF42C9">
        <w:t xml:space="preserve">, and </w:t>
      </w:r>
      <w:r w:rsidR="00AF42C9" w:rsidRPr="007101B9">
        <w:t>Appropriate course Selection Strategies</w:t>
      </w:r>
      <w:r w:rsidR="00AF42C9">
        <w:t>.</w:t>
      </w:r>
    </w:p>
    <w:p w14:paraId="1D615E11" w14:textId="2A5D7A88" w:rsidR="00AF42C9" w:rsidRDefault="00AF42C9" w:rsidP="00AF42C9">
      <w:pPr>
        <w:pStyle w:val="ListParagraph"/>
        <w:spacing w:after="0" w:line="240" w:lineRule="auto"/>
        <w:ind w:left="360"/>
        <w:rPr>
          <w:rFonts w:ascii="Myriad Pro" w:hAnsi="Myriad Pro"/>
        </w:rPr>
      </w:pPr>
      <w:r>
        <w:rPr>
          <w:rFonts w:ascii="Myriad Pro" w:hAnsi="Myriad Pro"/>
        </w:rPr>
        <w:br/>
      </w: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p>
    <w:p w14:paraId="24D0F831" w14:textId="77777777" w:rsidR="00AF42C9" w:rsidRDefault="00BF39A0" w:rsidP="00794604">
      <w:pPr>
        <w:pStyle w:val="ListParagraph"/>
        <w:spacing w:after="0" w:line="240" w:lineRule="auto"/>
        <w:ind w:left="360"/>
      </w:pPr>
      <w:r>
        <w:rPr>
          <w:rFonts w:ascii="Myriad Pro" w:hAnsi="Myriad Pro"/>
        </w:rPr>
        <w:br/>
      </w:r>
      <w:r w:rsidR="00AF42C9" w:rsidRPr="007101B9">
        <w:t>Junior Year</w:t>
      </w:r>
      <w:r w:rsidR="00AF42C9">
        <w:t xml:space="preserve"> students </w:t>
      </w:r>
      <w:r w:rsidR="00AF42C9" w:rsidRPr="007101B9">
        <w:t xml:space="preserve">Create a </w:t>
      </w:r>
      <w:proofErr w:type="spellStart"/>
      <w:r w:rsidR="00AF42C9" w:rsidRPr="007101B9">
        <w:t>Naviance</w:t>
      </w:r>
      <w:proofErr w:type="spellEnd"/>
      <w:r w:rsidR="00AF42C9" w:rsidRPr="007101B9">
        <w:t xml:space="preserve"> Account</w:t>
      </w:r>
      <w:r w:rsidR="00AF42C9">
        <w:t xml:space="preserve"> learn</w:t>
      </w:r>
      <w:r w:rsidR="00AF42C9" w:rsidRPr="007101B9">
        <w:t xml:space="preserve"> Decision Making and Goal Setting</w:t>
      </w:r>
      <w:r w:rsidR="00AF42C9">
        <w:t xml:space="preserve">, meet with </w:t>
      </w:r>
      <w:r w:rsidR="00AF42C9" w:rsidRPr="007101B9">
        <w:t>Career and College Representatives</w:t>
      </w:r>
      <w:r w:rsidR="00AF42C9">
        <w:t xml:space="preserve">, take </w:t>
      </w:r>
      <w:r w:rsidR="00AF42C9" w:rsidRPr="007101B9">
        <w:t>College Board Testing–PSAT, TOEFL, SAT 1,</w:t>
      </w:r>
      <w:r w:rsidR="00AF42C9">
        <w:t xml:space="preserve"> </w:t>
      </w:r>
      <w:r w:rsidR="00AF42C9" w:rsidRPr="007101B9">
        <w:t>SAT 2, ACT’s</w:t>
      </w:r>
      <w:r w:rsidR="00AF42C9">
        <w:t xml:space="preserve">, learn about the </w:t>
      </w:r>
      <w:r w:rsidR="00AF42C9" w:rsidRPr="007101B9">
        <w:t>Post Secondary School Search Process</w:t>
      </w:r>
      <w:r w:rsidR="00AF42C9">
        <w:t xml:space="preserve"> through an</w:t>
      </w:r>
      <w:r w:rsidR="00AF42C9" w:rsidRPr="007101B9">
        <w:t xml:space="preserve"> Intro</w:t>
      </w:r>
      <w:r w:rsidR="00AF42C9">
        <w:t xml:space="preserve">duction to Post Secondary School and </w:t>
      </w:r>
      <w:r w:rsidR="00AF42C9" w:rsidRPr="007101B9">
        <w:t>Application and Process on the Internet.</w:t>
      </w:r>
      <w:r w:rsidR="00AF42C9">
        <w:br/>
      </w:r>
    </w:p>
    <w:p w14:paraId="1E25B270" w14:textId="224C1960" w:rsidR="00AF42C9" w:rsidRDefault="00AF42C9" w:rsidP="00794604">
      <w:pPr>
        <w:pStyle w:val="ListParagraph"/>
        <w:spacing w:after="0" w:line="240" w:lineRule="auto"/>
        <w:ind w:left="360"/>
      </w:pPr>
      <w:r w:rsidRPr="007101B9">
        <w:t>Senior Year</w:t>
      </w:r>
      <w:r>
        <w:t xml:space="preserve"> students develop an </w:t>
      </w:r>
      <w:r w:rsidRPr="007101B9">
        <w:t>Understanding the roles and Responsibilities</w:t>
      </w:r>
      <w:r>
        <w:t xml:space="preserve"> </w:t>
      </w:r>
      <w:r w:rsidRPr="007101B9">
        <w:t>of Senior Year</w:t>
      </w:r>
      <w:r>
        <w:t xml:space="preserve"> </w:t>
      </w:r>
      <w:proofErr w:type="gramStart"/>
      <w:r>
        <w:t xml:space="preserve">and  </w:t>
      </w:r>
      <w:r w:rsidRPr="007101B9">
        <w:t>Interdisciplinary</w:t>
      </w:r>
      <w:proofErr w:type="gramEnd"/>
      <w:r w:rsidRPr="007101B9">
        <w:t xml:space="preserve">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Final Review of their </w:t>
      </w:r>
      <w:r w:rsidRPr="007101B9">
        <w:t>Career/School/Work</w:t>
      </w:r>
      <w:r>
        <w:t xml:space="preserve"> plan.</w:t>
      </w:r>
      <w:r>
        <w:br/>
      </w:r>
      <w:r>
        <w:br/>
      </w:r>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w:t>
      </w:r>
    </w:p>
    <w:p w14:paraId="5731E566" w14:textId="273B4410" w:rsidR="00504C3E" w:rsidRDefault="00BF39A0" w:rsidP="00794604">
      <w:pPr>
        <w:pStyle w:val="ListParagraph"/>
        <w:spacing w:after="0" w:line="240" w:lineRule="auto"/>
        <w:ind w:left="360"/>
        <w:rPr>
          <w:rFonts w:ascii="Myriad Pro" w:hAnsi="Myriad Pro"/>
        </w:rPr>
      </w:pPr>
      <w:r>
        <w:rPr>
          <w:rFonts w:ascii="Myriad Pro" w:hAnsi="Myriad Pro"/>
        </w:rPr>
        <w:lastRenderedPageBreak/>
        <w:br/>
      </w:r>
    </w:p>
    <w:tbl>
      <w:tblPr>
        <w:tblStyle w:val="TableGrid"/>
        <w:tblW w:w="9216" w:type="dxa"/>
        <w:tblInd w:w="360" w:type="dxa"/>
        <w:tblLayout w:type="fixed"/>
        <w:tblLook w:val="04A0" w:firstRow="1" w:lastRow="0" w:firstColumn="1" w:lastColumn="0" w:noHBand="0" w:noVBand="1"/>
      </w:tblPr>
      <w:tblGrid>
        <w:gridCol w:w="826"/>
        <w:gridCol w:w="1080"/>
        <w:gridCol w:w="1262"/>
        <w:gridCol w:w="1080"/>
        <w:gridCol w:w="1260"/>
        <w:gridCol w:w="1890"/>
        <w:gridCol w:w="1818"/>
      </w:tblGrid>
      <w:tr w:rsidR="00E02DE3" w:rsidRPr="00E31ED3" w14:paraId="6BB4636C" w14:textId="77777777" w:rsidTr="00E02DE3">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26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08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26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89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1818"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E02DE3" w14:paraId="4E0BCD26" w14:textId="77777777" w:rsidTr="00E02DE3">
        <w:tc>
          <w:tcPr>
            <w:tcW w:w="826" w:type="dxa"/>
            <w:tcBorders>
              <w:top w:val="single" w:sz="4" w:space="0" w:color="auto"/>
            </w:tcBorders>
          </w:tcPr>
          <w:p w14:paraId="02571249" w14:textId="229D3151" w:rsidR="00E02DE3" w:rsidRPr="00E31ED3" w:rsidRDefault="00E02DE3"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0379ABB3" w:rsidR="00E02DE3" w:rsidRDefault="00E02DE3" w:rsidP="00794604">
            <w:pPr>
              <w:pStyle w:val="ListParagraph"/>
              <w:ind w:left="0"/>
              <w:rPr>
                <w:rFonts w:ascii="Myriad Pro" w:hAnsi="Myriad Pro"/>
              </w:rPr>
            </w:pPr>
            <w:r w:rsidRPr="002D6443">
              <w:rPr>
                <w:rFonts w:ascii="Calibri" w:hAnsi="Calibri"/>
              </w:rPr>
              <w:t>English I</w:t>
            </w:r>
          </w:p>
        </w:tc>
        <w:tc>
          <w:tcPr>
            <w:tcW w:w="1262" w:type="dxa"/>
            <w:tcBorders>
              <w:top w:val="single" w:sz="4" w:space="0" w:color="auto"/>
            </w:tcBorders>
          </w:tcPr>
          <w:p w14:paraId="013AE5F9" w14:textId="6DBC9923" w:rsidR="00E02DE3" w:rsidRDefault="00E02DE3" w:rsidP="00794604">
            <w:pPr>
              <w:pStyle w:val="ListParagraph"/>
              <w:ind w:left="0"/>
              <w:rPr>
                <w:rFonts w:ascii="Myriad Pro" w:hAnsi="Myriad Pro"/>
              </w:rPr>
            </w:pPr>
            <w:r w:rsidRPr="002D6443">
              <w:rPr>
                <w:rFonts w:ascii="Calibri" w:hAnsi="Calibri" w:cs="Times New Roman"/>
              </w:rPr>
              <w:t>Algebra I</w:t>
            </w:r>
          </w:p>
        </w:tc>
        <w:tc>
          <w:tcPr>
            <w:tcW w:w="1080" w:type="dxa"/>
            <w:tcBorders>
              <w:top w:val="single" w:sz="4" w:space="0" w:color="auto"/>
            </w:tcBorders>
          </w:tcPr>
          <w:p w14:paraId="4B952007" w14:textId="774BCCDF" w:rsidR="00E02DE3" w:rsidRDefault="00E02DE3" w:rsidP="00794604">
            <w:pPr>
              <w:pStyle w:val="ListParagraph"/>
              <w:ind w:left="0"/>
              <w:rPr>
                <w:rFonts w:ascii="Myriad Pro" w:hAnsi="Myriad Pro"/>
              </w:rPr>
            </w:pPr>
            <w:r w:rsidRPr="002D6443">
              <w:rPr>
                <w:rFonts w:ascii="Calibri" w:hAnsi="Calibri" w:cs="Times New Roman"/>
              </w:rPr>
              <w:t>Biology</w:t>
            </w:r>
          </w:p>
        </w:tc>
        <w:tc>
          <w:tcPr>
            <w:tcW w:w="1260" w:type="dxa"/>
            <w:tcBorders>
              <w:top w:val="single" w:sz="4" w:space="0" w:color="auto"/>
            </w:tcBorders>
          </w:tcPr>
          <w:p w14:paraId="31FF7C47" w14:textId="77777777" w:rsidR="00E02DE3" w:rsidRPr="002D6443" w:rsidRDefault="00E02DE3" w:rsidP="00F565F0">
            <w:pPr>
              <w:rPr>
                <w:rFonts w:ascii="Calibri" w:hAnsi="Calibri"/>
              </w:rPr>
            </w:pPr>
            <w:r w:rsidRPr="002D6443">
              <w:rPr>
                <w:rFonts w:ascii="Calibri" w:hAnsi="Calibri" w:cs="Times New Roman"/>
              </w:rPr>
              <w:t xml:space="preserve">US History I </w:t>
            </w:r>
          </w:p>
          <w:p w14:paraId="32FA8A95" w14:textId="77777777" w:rsidR="00E02DE3" w:rsidRDefault="00E02DE3" w:rsidP="00794604">
            <w:pPr>
              <w:pStyle w:val="ListParagraph"/>
              <w:ind w:left="0"/>
              <w:rPr>
                <w:rFonts w:ascii="Myriad Pro" w:hAnsi="Myriad Pro"/>
              </w:rPr>
            </w:pPr>
          </w:p>
        </w:tc>
        <w:tc>
          <w:tcPr>
            <w:tcW w:w="1890" w:type="dxa"/>
            <w:tcBorders>
              <w:top w:val="single" w:sz="4" w:space="0" w:color="auto"/>
            </w:tcBorders>
          </w:tcPr>
          <w:p w14:paraId="314F6D9C" w14:textId="77777777" w:rsidR="00E02DE3" w:rsidRDefault="00E02DE3" w:rsidP="00F565F0">
            <w:pPr>
              <w:rPr>
                <w:rFonts w:ascii="Calibri" w:hAnsi="Calibri" w:cs="Times New Roman"/>
              </w:rPr>
            </w:pPr>
            <w:r w:rsidRPr="002D6443">
              <w:rPr>
                <w:rFonts w:ascii="Calibri" w:hAnsi="Calibri" w:cs="Times New Roman"/>
              </w:rPr>
              <w:t>Health Ed I</w:t>
            </w:r>
          </w:p>
          <w:p w14:paraId="099B4025" w14:textId="4F2CCDE4" w:rsidR="00E02DE3" w:rsidRDefault="00E02DE3" w:rsidP="00794604">
            <w:pPr>
              <w:pStyle w:val="ListParagraph"/>
              <w:ind w:left="0"/>
              <w:rPr>
                <w:rFonts w:ascii="Myriad Pro" w:hAnsi="Myriad Pro"/>
              </w:rPr>
            </w:pPr>
            <w:r w:rsidRPr="002D6443">
              <w:rPr>
                <w:rFonts w:ascii="Calibri" w:hAnsi="Calibri" w:cs="Times New Roman"/>
              </w:rPr>
              <w:t>Foreign Language</w:t>
            </w:r>
          </w:p>
        </w:tc>
        <w:tc>
          <w:tcPr>
            <w:tcW w:w="1818" w:type="dxa"/>
            <w:tcBorders>
              <w:top w:val="single" w:sz="4" w:space="0" w:color="auto"/>
            </w:tcBorders>
          </w:tcPr>
          <w:p w14:paraId="0F15AFF4" w14:textId="04E383F7" w:rsidR="00E02DE3" w:rsidRDefault="00E02DE3" w:rsidP="00794604">
            <w:pPr>
              <w:pStyle w:val="ListParagraph"/>
              <w:ind w:left="0"/>
              <w:rPr>
                <w:rFonts w:ascii="Myriad Pro" w:hAnsi="Myriad Pro"/>
              </w:rPr>
            </w:pPr>
            <w:r w:rsidRPr="002D6443">
              <w:rPr>
                <w:rFonts w:ascii="Calibri" w:hAnsi="Calibri"/>
              </w:rPr>
              <w:t>Exploratory</w:t>
            </w:r>
          </w:p>
        </w:tc>
      </w:tr>
      <w:tr w:rsidR="00E02DE3" w14:paraId="7ADC0878" w14:textId="77777777" w:rsidTr="00E02DE3">
        <w:tc>
          <w:tcPr>
            <w:tcW w:w="826" w:type="dxa"/>
          </w:tcPr>
          <w:p w14:paraId="35CA1CC6" w14:textId="68E935F3" w:rsidR="00E02DE3" w:rsidRPr="00E31ED3" w:rsidRDefault="00E02DE3"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55C798F9" w:rsidR="00E02DE3" w:rsidRDefault="00E02DE3" w:rsidP="00794604">
            <w:pPr>
              <w:pStyle w:val="ListParagraph"/>
              <w:ind w:left="0"/>
              <w:rPr>
                <w:rFonts w:ascii="Myriad Pro" w:hAnsi="Myriad Pro"/>
              </w:rPr>
            </w:pPr>
            <w:r w:rsidRPr="002D6443">
              <w:rPr>
                <w:rFonts w:ascii="Calibri" w:hAnsi="Calibri" w:cs="Times New Roman"/>
              </w:rPr>
              <w:t>English II</w:t>
            </w:r>
          </w:p>
        </w:tc>
        <w:tc>
          <w:tcPr>
            <w:tcW w:w="1262" w:type="dxa"/>
          </w:tcPr>
          <w:p w14:paraId="6CBC1C1C" w14:textId="65445F4C" w:rsidR="00E02DE3" w:rsidRDefault="00E02DE3" w:rsidP="00794604">
            <w:pPr>
              <w:pStyle w:val="ListParagraph"/>
              <w:ind w:left="0"/>
              <w:rPr>
                <w:rFonts w:ascii="Myriad Pro" w:hAnsi="Myriad Pro"/>
              </w:rPr>
            </w:pPr>
            <w:r w:rsidRPr="002D6443">
              <w:rPr>
                <w:rFonts w:ascii="Calibri" w:hAnsi="Calibri" w:cs="Times New Roman"/>
              </w:rPr>
              <w:t>Geometry</w:t>
            </w:r>
          </w:p>
        </w:tc>
        <w:tc>
          <w:tcPr>
            <w:tcW w:w="1080" w:type="dxa"/>
          </w:tcPr>
          <w:p w14:paraId="078F613A" w14:textId="0B08D475" w:rsidR="00E02DE3" w:rsidRDefault="00E02DE3" w:rsidP="00794604">
            <w:pPr>
              <w:pStyle w:val="ListParagraph"/>
              <w:ind w:left="0"/>
              <w:rPr>
                <w:rFonts w:ascii="Myriad Pro" w:hAnsi="Myriad Pro"/>
              </w:rPr>
            </w:pPr>
            <w:r w:rsidRPr="002D6443">
              <w:rPr>
                <w:rFonts w:ascii="Calibri" w:hAnsi="Calibri" w:cs="Times New Roman"/>
              </w:rPr>
              <w:t>Chemistry</w:t>
            </w:r>
          </w:p>
        </w:tc>
        <w:tc>
          <w:tcPr>
            <w:tcW w:w="1260" w:type="dxa"/>
          </w:tcPr>
          <w:p w14:paraId="6CCB4AEB" w14:textId="77777777" w:rsidR="00E02DE3" w:rsidRPr="002D6443" w:rsidRDefault="00E02DE3" w:rsidP="00F565F0">
            <w:pPr>
              <w:rPr>
                <w:rFonts w:ascii="Calibri" w:hAnsi="Calibri"/>
              </w:rPr>
            </w:pPr>
            <w:r w:rsidRPr="002D6443">
              <w:rPr>
                <w:rFonts w:ascii="Calibri" w:hAnsi="Calibri" w:cs="Times New Roman"/>
              </w:rPr>
              <w:t xml:space="preserve">US History II </w:t>
            </w:r>
          </w:p>
          <w:p w14:paraId="229195B6" w14:textId="77777777" w:rsidR="00E02DE3" w:rsidRDefault="00E02DE3" w:rsidP="00794604">
            <w:pPr>
              <w:pStyle w:val="ListParagraph"/>
              <w:ind w:left="0"/>
              <w:rPr>
                <w:rFonts w:ascii="Myriad Pro" w:hAnsi="Myriad Pro"/>
              </w:rPr>
            </w:pPr>
          </w:p>
        </w:tc>
        <w:tc>
          <w:tcPr>
            <w:tcW w:w="1890" w:type="dxa"/>
          </w:tcPr>
          <w:p w14:paraId="4E05FEF9" w14:textId="77777777" w:rsidR="00E02DE3" w:rsidRPr="002D6443" w:rsidRDefault="00E02DE3" w:rsidP="00F565F0">
            <w:pPr>
              <w:rPr>
                <w:rFonts w:ascii="Calibri" w:hAnsi="Calibri" w:cs="Times New Roman"/>
              </w:rPr>
            </w:pPr>
            <w:r w:rsidRPr="002D6443">
              <w:rPr>
                <w:rFonts w:ascii="Calibri" w:hAnsi="Calibri" w:cs="Times New Roman"/>
              </w:rPr>
              <w:t>Physical Education</w:t>
            </w:r>
          </w:p>
          <w:p w14:paraId="7685434B" w14:textId="3572DA25" w:rsidR="00E02DE3" w:rsidRDefault="00E02DE3" w:rsidP="00794604">
            <w:pPr>
              <w:pStyle w:val="ListParagraph"/>
              <w:ind w:left="0"/>
              <w:rPr>
                <w:rFonts w:ascii="Myriad Pro" w:hAnsi="Myriad Pro"/>
              </w:rPr>
            </w:pPr>
            <w:r w:rsidRPr="002D6443">
              <w:rPr>
                <w:rFonts w:ascii="Calibri" w:hAnsi="Calibri" w:cs="Times New Roman"/>
              </w:rPr>
              <w:t>Foreign Language</w:t>
            </w:r>
            <w:r>
              <w:rPr>
                <w:rFonts w:ascii="Calibri" w:hAnsi="Calibri" w:cs="Times New Roman"/>
              </w:rPr>
              <w:t xml:space="preserve"> I &amp; II</w:t>
            </w:r>
          </w:p>
        </w:tc>
        <w:tc>
          <w:tcPr>
            <w:tcW w:w="1818" w:type="dxa"/>
          </w:tcPr>
          <w:p w14:paraId="717399B1" w14:textId="2188511C" w:rsidR="00E02DE3" w:rsidRDefault="00E02DE3" w:rsidP="00794604">
            <w:pPr>
              <w:pStyle w:val="ListParagraph"/>
              <w:ind w:left="0"/>
              <w:rPr>
                <w:rFonts w:ascii="Myriad Pro" w:hAnsi="Myriad Pro"/>
              </w:rPr>
            </w:pPr>
            <w:r w:rsidRPr="002D6443">
              <w:rPr>
                <w:rFonts w:ascii="Calibri" w:hAnsi="Calibri"/>
              </w:rPr>
              <w:t>CTE 2</w:t>
            </w:r>
          </w:p>
        </w:tc>
      </w:tr>
      <w:tr w:rsidR="00E02DE3" w14:paraId="028846E5" w14:textId="77777777" w:rsidTr="00E02DE3">
        <w:tc>
          <w:tcPr>
            <w:tcW w:w="826" w:type="dxa"/>
          </w:tcPr>
          <w:p w14:paraId="663DD675" w14:textId="5A6EACB7" w:rsidR="00E02DE3" w:rsidRPr="00E31ED3" w:rsidRDefault="00E02DE3"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62E4CE4E" w:rsidR="00E02DE3" w:rsidRDefault="00E02DE3" w:rsidP="00794604">
            <w:pPr>
              <w:pStyle w:val="ListParagraph"/>
              <w:ind w:left="0"/>
              <w:rPr>
                <w:rFonts w:ascii="Myriad Pro" w:hAnsi="Myriad Pro"/>
              </w:rPr>
            </w:pPr>
            <w:r w:rsidRPr="002D6443">
              <w:rPr>
                <w:rFonts w:ascii="Calibri" w:hAnsi="Calibri" w:cs="Times New Roman"/>
              </w:rPr>
              <w:t>English III</w:t>
            </w:r>
          </w:p>
        </w:tc>
        <w:tc>
          <w:tcPr>
            <w:tcW w:w="1262" w:type="dxa"/>
          </w:tcPr>
          <w:p w14:paraId="23B4B463" w14:textId="4D195823" w:rsidR="00E02DE3" w:rsidRDefault="00E02DE3" w:rsidP="00794604">
            <w:pPr>
              <w:pStyle w:val="ListParagraph"/>
              <w:ind w:left="0"/>
              <w:rPr>
                <w:rFonts w:ascii="Myriad Pro" w:hAnsi="Myriad Pro"/>
              </w:rPr>
            </w:pPr>
            <w:r w:rsidRPr="002D6443">
              <w:rPr>
                <w:rFonts w:ascii="Calibri" w:hAnsi="Calibri" w:cs="Times New Roman"/>
              </w:rPr>
              <w:t>Algebra II</w:t>
            </w:r>
            <w:r>
              <w:rPr>
                <w:rFonts w:ascii="Calibri" w:hAnsi="Calibri" w:cs="Times New Roman"/>
              </w:rPr>
              <w:t xml:space="preserve"> or </w:t>
            </w:r>
            <w:proofErr w:type="spellStart"/>
            <w:r>
              <w:rPr>
                <w:rFonts w:ascii="Calibri" w:hAnsi="Calibri" w:cs="Times New Roman"/>
              </w:rPr>
              <w:t>Precalculus</w:t>
            </w:r>
            <w:proofErr w:type="spellEnd"/>
          </w:p>
        </w:tc>
        <w:tc>
          <w:tcPr>
            <w:tcW w:w="1080" w:type="dxa"/>
          </w:tcPr>
          <w:p w14:paraId="6678ECC4" w14:textId="6017D7C3" w:rsidR="00E02DE3" w:rsidRDefault="00E02DE3" w:rsidP="00794604">
            <w:pPr>
              <w:pStyle w:val="ListParagraph"/>
              <w:ind w:left="0"/>
              <w:rPr>
                <w:rFonts w:ascii="Myriad Pro" w:hAnsi="Myriad Pro"/>
              </w:rPr>
            </w:pPr>
            <w:r w:rsidRPr="002D6443">
              <w:rPr>
                <w:rFonts w:ascii="Calibri" w:hAnsi="Calibri" w:cs="Times New Roman"/>
              </w:rPr>
              <w:t>Physics</w:t>
            </w:r>
          </w:p>
        </w:tc>
        <w:tc>
          <w:tcPr>
            <w:tcW w:w="1260" w:type="dxa"/>
          </w:tcPr>
          <w:p w14:paraId="0DBD37B9" w14:textId="77777777" w:rsidR="00E02DE3" w:rsidRPr="002D6443" w:rsidRDefault="00E02DE3" w:rsidP="00F565F0">
            <w:pPr>
              <w:rPr>
                <w:rFonts w:ascii="Calibri" w:hAnsi="Calibri" w:cs="Times New Roman"/>
              </w:rPr>
            </w:pPr>
            <w:r w:rsidRPr="002D6443">
              <w:rPr>
                <w:rFonts w:ascii="Calibri" w:hAnsi="Calibri" w:cs="Times New Roman"/>
              </w:rPr>
              <w:t>World History</w:t>
            </w:r>
          </w:p>
          <w:p w14:paraId="481FFAE3" w14:textId="2F0F6C8E" w:rsidR="00E02DE3" w:rsidRDefault="00E02DE3" w:rsidP="00794604">
            <w:pPr>
              <w:pStyle w:val="ListParagraph"/>
              <w:ind w:left="0"/>
              <w:rPr>
                <w:rFonts w:ascii="Myriad Pro" w:hAnsi="Myriad Pro"/>
              </w:rPr>
            </w:pPr>
            <w:r w:rsidRPr="002D6443">
              <w:rPr>
                <w:rFonts w:ascii="Calibri" w:hAnsi="Calibri" w:cs="Times New Roman"/>
              </w:rPr>
              <w:t>Themes</w:t>
            </w:r>
          </w:p>
        </w:tc>
        <w:tc>
          <w:tcPr>
            <w:tcW w:w="1890" w:type="dxa"/>
          </w:tcPr>
          <w:p w14:paraId="338F0CA2" w14:textId="7DC44DD6" w:rsidR="00E02DE3" w:rsidRDefault="00E02DE3" w:rsidP="00794604">
            <w:pPr>
              <w:pStyle w:val="ListParagraph"/>
              <w:ind w:left="0"/>
              <w:rPr>
                <w:rFonts w:ascii="Myriad Pro" w:hAnsi="Myriad Pro"/>
              </w:rPr>
            </w:pPr>
            <w:r w:rsidRPr="002D6443">
              <w:rPr>
                <w:rFonts w:ascii="Calibri" w:hAnsi="Calibri" w:cs="Times New Roman"/>
              </w:rPr>
              <w:t>Health Ed II</w:t>
            </w:r>
          </w:p>
        </w:tc>
        <w:tc>
          <w:tcPr>
            <w:tcW w:w="1818" w:type="dxa"/>
          </w:tcPr>
          <w:p w14:paraId="11E46877" w14:textId="6EEB0B2B" w:rsidR="00E02DE3" w:rsidRDefault="00E02DE3" w:rsidP="00794604">
            <w:pPr>
              <w:pStyle w:val="ListParagraph"/>
              <w:ind w:left="0"/>
              <w:rPr>
                <w:rFonts w:ascii="Myriad Pro" w:hAnsi="Myriad Pro"/>
              </w:rPr>
            </w:pPr>
            <w:r w:rsidRPr="002D6443">
              <w:rPr>
                <w:rFonts w:ascii="Calibri" w:hAnsi="Calibri"/>
              </w:rPr>
              <w:t>CTE 3</w:t>
            </w:r>
          </w:p>
        </w:tc>
      </w:tr>
      <w:tr w:rsidR="00E02DE3" w14:paraId="65B8A018" w14:textId="77777777" w:rsidTr="00E02DE3">
        <w:tc>
          <w:tcPr>
            <w:tcW w:w="826" w:type="dxa"/>
          </w:tcPr>
          <w:p w14:paraId="4114725E" w14:textId="22DBCC5F" w:rsidR="00E02DE3" w:rsidRPr="00E31ED3" w:rsidRDefault="00E02DE3"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653C2696" w:rsidR="00E02DE3" w:rsidRDefault="00E02DE3" w:rsidP="00794604">
            <w:pPr>
              <w:pStyle w:val="ListParagraph"/>
              <w:ind w:left="0"/>
              <w:rPr>
                <w:rFonts w:ascii="Myriad Pro" w:hAnsi="Myriad Pro"/>
              </w:rPr>
            </w:pPr>
            <w:r w:rsidRPr="002D6443">
              <w:rPr>
                <w:rFonts w:ascii="Calibri" w:hAnsi="Calibri" w:cs="Times New Roman"/>
              </w:rPr>
              <w:t>English IV</w:t>
            </w:r>
          </w:p>
        </w:tc>
        <w:tc>
          <w:tcPr>
            <w:tcW w:w="1262" w:type="dxa"/>
          </w:tcPr>
          <w:p w14:paraId="4FA12CAC" w14:textId="60572801" w:rsidR="00E02DE3" w:rsidRPr="002D6443" w:rsidRDefault="00E02DE3" w:rsidP="00F565F0">
            <w:pPr>
              <w:rPr>
                <w:rFonts w:ascii="Calibri" w:hAnsi="Calibri" w:cs="Times New Roman"/>
              </w:rPr>
            </w:pPr>
            <w:r w:rsidRPr="002D6443">
              <w:rPr>
                <w:rFonts w:ascii="Calibri" w:hAnsi="Calibri" w:cs="Times New Roman"/>
              </w:rPr>
              <w:t>Pre Calculus or</w:t>
            </w:r>
            <w:r>
              <w:rPr>
                <w:rFonts w:ascii="Calibri" w:hAnsi="Calibri" w:cs="Times New Roman"/>
              </w:rPr>
              <w:t xml:space="preserve"> Calculus or</w:t>
            </w:r>
          </w:p>
          <w:p w14:paraId="125B486E" w14:textId="753B96B3" w:rsidR="00E02DE3" w:rsidRDefault="00E02DE3" w:rsidP="00794604">
            <w:pPr>
              <w:pStyle w:val="ListParagraph"/>
              <w:ind w:left="0"/>
              <w:rPr>
                <w:rFonts w:ascii="Myriad Pro" w:hAnsi="Myriad Pro"/>
              </w:rPr>
            </w:pPr>
            <w:r w:rsidRPr="002D6443">
              <w:rPr>
                <w:rFonts w:ascii="Calibri" w:hAnsi="Calibri" w:cs="Times New Roman"/>
              </w:rPr>
              <w:t>Integrated math</w:t>
            </w:r>
          </w:p>
        </w:tc>
        <w:tc>
          <w:tcPr>
            <w:tcW w:w="1080" w:type="dxa"/>
          </w:tcPr>
          <w:p w14:paraId="52F65843" w14:textId="0AA6A0C8" w:rsidR="00E02DE3" w:rsidRDefault="00E02DE3" w:rsidP="00794604">
            <w:pPr>
              <w:pStyle w:val="ListParagraph"/>
              <w:ind w:left="0"/>
              <w:rPr>
                <w:rFonts w:ascii="Myriad Pro" w:hAnsi="Myriad Pro"/>
              </w:rPr>
            </w:pPr>
            <w:r w:rsidRPr="002D6443">
              <w:rPr>
                <w:rFonts w:ascii="Calibri" w:hAnsi="Calibri" w:cs="Times New Roman"/>
              </w:rPr>
              <w:t>Engineering</w:t>
            </w:r>
            <w:r>
              <w:rPr>
                <w:rFonts w:ascii="Calibri" w:hAnsi="Calibri" w:cs="Times New Roman"/>
              </w:rPr>
              <w:t xml:space="preserve"> by Design</w:t>
            </w:r>
          </w:p>
        </w:tc>
        <w:tc>
          <w:tcPr>
            <w:tcW w:w="1260" w:type="dxa"/>
          </w:tcPr>
          <w:p w14:paraId="4FA4D3F0" w14:textId="77777777" w:rsidR="00E02DE3" w:rsidRDefault="00E02DE3" w:rsidP="00794604">
            <w:pPr>
              <w:pStyle w:val="ListParagraph"/>
              <w:ind w:left="0"/>
              <w:rPr>
                <w:rFonts w:ascii="Myriad Pro" w:hAnsi="Myriad Pro"/>
              </w:rPr>
            </w:pPr>
          </w:p>
        </w:tc>
        <w:tc>
          <w:tcPr>
            <w:tcW w:w="1890" w:type="dxa"/>
          </w:tcPr>
          <w:p w14:paraId="56578B51" w14:textId="77777777" w:rsidR="00E02DE3" w:rsidRDefault="00E02DE3" w:rsidP="00F565F0">
            <w:pPr>
              <w:rPr>
                <w:rFonts w:ascii="Calibri" w:hAnsi="Calibri"/>
              </w:rPr>
            </w:pPr>
            <w:r w:rsidRPr="002D6443">
              <w:rPr>
                <w:rFonts w:ascii="Calibri" w:hAnsi="Calibri"/>
              </w:rPr>
              <w:t>Entrepreneurship</w:t>
            </w:r>
          </w:p>
          <w:p w14:paraId="778881E2" w14:textId="77777777" w:rsidR="00E02DE3" w:rsidRDefault="00E02DE3" w:rsidP="00F565F0">
            <w:pPr>
              <w:rPr>
                <w:rFonts w:ascii="Calibri" w:hAnsi="Calibri"/>
              </w:rPr>
            </w:pPr>
          </w:p>
          <w:p w14:paraId="67890231" w14:textId="77777777" w:rsidR="00E02DE3" w:rsidRDefault="00E02DE3" w:rsidP="00794604">
            <w:pPr>
              <w:pStyle w:val="ListParagraph"/>
              <w:ind w:left="0"/>
              <w:rPr>
                <w:rFonts w:ascii="Myriad Pro" w:hAnsi="Myriad Pro"/>
              </w:rPr>
            </w:pPr>
          </w:p>
        </w:tc>
        <w:tc>
          <w:tcPr>
            <w:tcW w:w="1818" w:type="dxa"/>
          </w:tcPr>
          <w:p w14:paraId="0E261321" w14:textId="4AEBA4AD" w:rsidR="00E02DE3" w:rsidRDefault="00E02DE3" w:rsidP="00794604">
            <w:pPr>
              <w:pStyle w:val="ListParagraph"/>
              <w:ind w:left="0"/>
              <w:rPr>
                <w:rFonts w:ascii="Myriad Pro" w:hAnsi="Myriad Pro"/>
              </w:rPr>
            </w:pPr>
            <w:r w:rsidRPr="002D6443">
              <w:rPr>
                <w:rFonts w:ascii="Calibri" w:hAnsi="Calibri"/>
              </w:rPr>
              <w:t>CTE 4</w:t>
            </w:r>
          </w:p>
        </w:tc>
      </w:tr>
    </w:tbl>
    <w:p w14:paraId="6D3E3732" w14:textId="77777777" w:rsidR="009A4071" w:rsidRPr="00E02DE3" w:rsidRDefault="009A4071" w:rsidP="00E02DE3">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5618AD1F" w14:textId="179F7A2C" w:rsidR="00BF39A0" w:rsidRPr="00E02DE3" w:rsidRDefault="00D00B16" w:rsidP="00D55E0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AF42C9">
        <w:rPr>
          <w:rFonts w:ascii="Myriad Pro" w:hAnsi="Myriad Pro"/>
        </w:rPr>
        <w:br/>
      </w:r>
      <w:r w:rsidR="00E02DE3">
        <w:rPr>
          <w:rFonts w:ascii="Myriad Pro" w:eastAsia="Times New Roman" w:hAnsi="Myriad Pro" w:cs="Times New Roman"/>
          <w:color w:val="000000"/>
          <w:shd w:val="clear" w:color="auto" w:fill="FFFFFF"/>
        </w:rPr>
        <w:br/>
      </w:r>
      <w:r w:rsidR="00AF42C9"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r w:rsidR="00AF42C9">
        <w:rPr>
          <w:rFonts w:ascii="Myriad Pro" w:eastAsia="Times New Roman" w:hAnsi="Myriad Pro" w:cs="Times New Roman"/>
          <w:color w:val="000000"/>
          <w:shd w:val="clear" w:color="auto" w:fill="FFFFFF"/>
        </w:rPr>
        <w:t>.</w:t>
      </w:r>
      <w:r w:rsidR="00BF39A0" w:rsidRPr="00E02DE3">
        <w:rPr>
          <w:rFonts w:ascii="Myriad Pro" w:hAnsi="Myriad Pro"/>
        </w:rPr>
        <w:br/>
      </w:r>
    </w:p>
    <w:p w14:paraId="0A7DF6C6" w14:textId="0E35A2AF" w:rsidR="00C51BD3" w:rsidRPr="00E02DE3"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AF42C9">
        <w:rPr>
          <w:rFonts w:ascii="Myriad Pro" w:hAnsi="Myriad Pro"/>
        </w:rPr>
        <w:br/>
      </w:r>
      <w:r w:rsidR="00AF42C9">
        <w:rPr>
          <w:rFonts w:ascii="Myriad Pro" w:hAnsi="Myriad Pro"/>
        </w:rPr>
        <w:br/>
        <w:t>SHS has dual enrollment opportunities for our Academic programs only, CTE offers articulation agreements with specific programs within the program</w:t>
      </w:r>
      <w:r w:rsidR="00E51805" w:rsidRPr="00BF39A0">
        <w:rPr>
          <w:rFonts w:ascii="Myriad Pro" w:hAnsi="Myriad Pro"/>
        </w:rPr>
        <w:br/>
      </w:r>
    </w:p>
    <w:p w14:paraId="1D70C221" w14:textId="79E55678"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r w:rsidR="00E02DE3">
        <w:rPr>
          <w:rFonts w:ascii="Myriad Pro" w:hAnsi="Myriad Pro"/>
        </w:rPr>
        <w:br/>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633"/>
        <w:gridCol w:w="3363"/>
        <w:gridCol w:w="3495"/>
      </w:tblGrid>
      <w:tr w:rsidR="00235BE1" w:rsidRPr="00A45272" w14:paraId="5FAE2564" w14:textId="77777777" w:rsidTr="00403E8D">
        <w:tc>
          <w:tcPr>
            <w:tcW w:w="2633"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363"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AF42C9" w:rsidRPr="00A45272" w14:paraId="03D3384A" w14:textId="77777777" w:rsidTr="00403E8D">
        <w:tc>
          <w:tcPr>
            <w:tcW w:w="2633" w:type="dxa"/>
          </w:tcPr>
          <w:p w14:paraId="2B2FE269" w14:textId="45A399E6" w:rsidR="00AF42C9" w:rsidRPr="00403E8D" w:rsidRDefault="00403E8D" w:rsidP="001D2A42">
            <w:pPr>
              <w:rPr>
                <w:rFonts w:ascii="Myriad Pro" w:hAnsi="Myriad Pro"/>
              </w:rPr>
            </w:pPr>
            <w:r w:rsidRPr="00403E8D">
              <w:rPr>
                <w:rFonts w:ascii="Myriad Pro" w:hAnsi="Myriad Pro"/>
              </w:rPr>
              <w:t>Bunker hill</w:t>
            </w:r>
            <w:r w:rsidR="00AF42C9" w:rsidRPr="00403E8D">
              <w:rPr>
                <w:rFonts w:ascii="Myriad Pro" w:hAnsi="Myriad Pro"/>
              </w:rPr>
              <w:t xml:space="preserve"> Community College</w:t>
            </w:r>
          </w:p>
        </w:tc>
        <w:tc>
          <w:tcPr>
            <w:tcW w:w="3363" w:type="dxa"/>
          </w:tcPr>
          <w:p w14:paraId="670D99E1" w14:textId="24C1987F" w:rsidR="00AF42C9" w:rsidRPr="00403E8D" w:rsidRDefault="00AF42C9" w:rsidP="001D2A42">
            <w:pPr>
              <w:rPr>
                <w:rFonts w:ascii="Myriad Pro" w:hAnsi="Myriad Pro"/>
              </w:rPr>
            </w:pPr>
            <w:r w:rsidRPr="00403E8D">
              <w:rPr>
                <w:rFonts w:ascii="Myriad Pro" w:hAnsi="Myriad Pro"/>
              </w:rPr>
              <w:t>Articulation Agreements, advisory board members</w:t>
            </w:r>
          </w:p>
        </w:tc>
        <w:tc>
          <w:tcPr>
            <w:tcW w:w="3495" w:type="dxa"/>
          </w:tcPr>
          <w:p w14:paraId="0FD54560" w14:textId="454AE6EA" w:rsidR="00AF42C9" w:rsidRPr="00A45272" w:rsidRDefault="00AF42C9" w:rsidP="001D2A42">
            <w:pPr>
              <w:rPr>
                <w:rFonts w:ascii="Myriad Pro" w:hAnsi="Myriad Pro"/>
              </w:rPr>
            </w:pPr>
            <w:r>
              <w:rPr>
                <w:rFonts w:ascii="Myriad Pro" w:hAnsi="Myriad Pro"/>
              </w:rPr>
              <w:t>5+</w:t>
            </w:r>
            <w:r w:rsidR="00E02DE3">
              <w:rPr>
                <w:rFonts w:ascii="Myriad Pro" w:hAnsi="Myriad Pro"/>
              </w:rPr>
              <w:t xml:space="preserve"> active participation and partnered through registrar. </w:t>
            </w:r>
          </w:p>
        </w:tc>
      </w:tr>
      <w:tr w:rsidR="00235BE1" w:rsidRPr="00A45272" w14:paraId="1C84404E" w14:textId="77777777" w:rsidTr="00403E8D">
        <w:tc>
          <w:tcPr>
            <w:tcW w:w="2633" w:type="dxa"/>
          </w:tcPr>
          <w:p w14:paraId="442107E3" w14:textId="77777777" w:rsidR="00AF42C9" w:rsidRPr="00403E8D" w:rsidRDefault="00AF42C9" w:rsidP="00AF42C9">
            <w:pPr>
              <w:widowControl w:val="0"/>
              <w:autoSpaceDE w:val="0"/>
              <w:autoSpaceDN w:val="0"/>
              <w:adjustRightInd w:val="0"/>
              <w:rPr>
                <w:rFonts w:ascii="Myriad Pro" w:hAnsi="Myriad Pro" w:cs="Times New Roman"/>
              </w:rPr>
            </w:pPr>
            <w:r w:rsidRPr="00403E8D">
              <w:rPr>
                <w:rFonts w:ascii="Myriad Pro" w:hAnsi="Myriad Pro" w:cs="Times New Roman"/>
              </w:rPr>
              <w:t>Benjamin Franklin Institute of</w:t>
            </w:r>
          </w:p>
          <w:p w14:paraId="16CAC692" w14:textId="73D56DB9" w:rsidR="00235BE1" w:rsidRPr="00403E8D" w:rsidRDefault="00AF42C9" w:rsidP="001D2A42">
            <w:pPr>
              <w:rPr>
                <w:rFonts w:ascii="Myriad Pro" w:hAnsi="Myriad Pro"/>
              </w:rPr>
            </w:pPr>
            <w:r w:rsidRPr="00403E8D">
              <w:rPr>
                <w:rFonts w:ascii="Myriad Pro" w:hAnsi="Myriad Pro" w:cs="Times New Roman"/>
              </w:rPr>
              <w:t>Technology</w:t>
            </w:r>
          </w:p>
        </w:tc>
        <w:tc>
          <w:tcPr>
            <w:tcW w:w="3363" w:type="dxa"/>
          </w:tcPr>
          <w:p w14:paraId="7C308C41" w14:textId="26A24194" w:rsidR="00235BE1" w:rsidRPr="00403E8D" w:rsidRDefault="00AF42C9" w:rsidP="001D2A42">
            <w:pPr>
              <w:rPr>
                <w:rFonts w:ascii="Myriad Pro" w:hAnsi="Myriad Pro"/>
              </w:rPr>
            </w:pPr>
            <w:r w:rsidRPr="00403E8D">
              <w:rPr>
                <w:rFonts w:ascii="Myriad Pro" w:hAnsi="Myriad Pro"/>
              </w:rPr>
              <w:t>Articulation Agreements</w:t>
            </w:r>
          </w:p>
        </w:tc>
        <w:tc>
          <w:tcPr>
            <w:tcW w:w="3495" w:type="dxa"/>
          </w:tcPr>
          <w:p w14:paraId="6D8182CF" w14:textId="63A948A0" w:rsidR="00235BE1" w:rsidRPr="00A45272" w:rsidRDefault="00E02DE3" w:rsidP="001D2A42">
            <w:pPr>
              <w:rPr>
                <w:rFonts w:ascii="Myriad Pro" w:hAnsi="Myriad Pro"/>
              </w:rPr>
            </w:pPr>
            <w:r>
              <w:rPr>
                <w:rFonts w:ascii="Myriad Pro" w:hAnsi="Myriad Pro"/>
              </w:rPr>
              <w:t>5+ active participation and partnered through registrar.</w:t>
            </w:r>
          </w:p>
        </w:tc>
      </w:tr>
      <w:tr w:rsidR="00235BE1" w:rsidRPr="00A45272" w14:paraId="32AB0517" w14:textId="77777777" w:rsidTr="00403E8D">
        <w:tc>
          <w:tcPr>
            <w:tcW w:w="2633" w:type="dxa"/>
          </w:tcPr>
          <w:p w14:paraId="3904EB6B" w14:textId="4373CCF3" w:rsidR="00235BE1" w:rsidRPr="00403E8D" w:rsidRDefault="00AF42C9" w:rsidP="001D2A42">
            <w:pPr>
              <w:rPr>
                <w:rFonts w:ascii="Myriad Pro" w:hAnsi="Myriad Pro"/>
              </w:rPr>
            </w:pPr>
            <w:r w:rsidRPr="00403E8D">
              <w:rPr>
                <w:rFonts w:ascii="Myriad Pro" w:hAnsi="Myriad Pro" w:cs="Times New Roman"/>
              </w:rPr>
              <w:lastRenderedPageBreak/>
              <w:t>Wyoming Technical Institute</w:t>
            </w:r>
          </w:p>
        </w:tc>
        <w:tc>
          <w:tcPr>
            <w:tcW w:w="3363" w:type="dxa"/>
          </w:tcPr>
          <w:p w14:paraId="0CC8459C" w14:textId="39BA81FD" w:rsidR="00235BE1" w:rsidRPr="00403E8D" w:rsidRDefault="00AF42C9" w:rsidP="001D2A42">
            <w:pPr>
              <w:rPr>
                <w:rFonts w:ascii="Myriad Pro" w:hAnsi="Myriad Pro"/>
              </w:rPr>
            </w:pPr>
            <w:r w:rsidRPr="00403E8D">
              <w:rPr>
                <w:rFonts w:ascii="Myriad Pro" w:hAnsi="Myriad Pro"/>
              </w:rPr>
              <w:t>Articulation Agreements</w:t>
            </w:r>
          </w:p>
        </w:tc>
        <w:tc>
          <w:tcPr>
            <w:tcW w:w="3495" w:type="dxa"/>
          </w:tcPr>
          <w:p w14:paraId="7A232E10" w14:textId="70541656" w:rsidR="00235BE1" w:rsidRPr="00A45272" w:rsidRDefault="00E02DE3" w:rsidP="001D2A42">
            <w:pPr>
              <w:rPr>
                <w:rFonts w:ascii="Myriad Pro" w:hAnsi="Myriad Pro"/>
              </w:rPr>
            </w:pPr>
            <w:r>
              <w:rPr>
                <w:rFonts w:ascii="Myriad Pro" w:hAnsi="Myriad Pro"/>
              </w:rPr>
              <w:t>5+ active participation and partnered through registrar.</w:t>
            </w:r>
          </w:p>
        </w:tc>
      </w:tr>
      <w:tr w:rsidR="00722285" w:rsidRPr="00A45272" w14:paraId="553A3FF2" w14:textId="77777777" w:rsidTr="00403E8D">
        <w:tc>
          <w:tcPr>
            <w:tcW w:w="2633" w:type="dxa"/>
          </w:tcPr>
          <w:p w14:paraId="0292817D" w14:textId="4C8A61C4" w:rsidR="00757B35" w:rsidRPr="00403E8D" w:rsidRDefault="00AF42C9" w:rsidP="001D2A42">
            <w:pPr>
              <w:rPr>
                <w:rFonts w:ascii="Myriad Pro" w:hAnsi="Myriad Pro"/>
              </w:rPr>
            </w:pPr>
            <w:r w:rsidRPr="00403E8D">
              <w:rPr>
                <w:rFonts w:ascii="Myriad Pro" w:hAnsi="Myriad Pro" w:cs="Times New Roman"/>
              </w:rPr>
              <w:t>Universal Technical Institute</w:t>
            </w:r>
          </w:p>
        </w:tc>
        <w:tc>
          <w:tcPr>
            <w:tcW w:w="3363" w:type="dxa"/>
          </w:tcPr>
          <w:p w14:paraId="0F8DB9FC" w14:textId="43199BBB" w:rsidR="00722285" w:rsidRPr="00403E8D" w:rsidRDefault="00AF42C9" w:rsidP="001D2A42">
            <w:pPr>
              <w:rPr>
                <w:rFonts w:ascii="Myriad Pro" w:hAnsi="Myriad Pro"/>
              </w:rPr>
            </w:pPr>
            <w:r w:rsidRPr="00403E8D">
              <w:rPr>
                <w:rFonts w:ascii="Myriad Pro" w:hAnsi="Myriad Pro"/>
              </w:rPr>
              <w:t>Articulation Agreements</w:t>
            </w:r>
          </w:p>
          <w:p w14:paraId="4B24AD25" w14:textId="77777777" w:rsidR="00722285" w:rsidRPr="00403E8D" w:rsidRDefault="00722285" w:rsidP="001D2A42">
            <w:pPr>
              <w:rPr>
                <w:rFonts w:ascii="Myriad Pro" w:hAnsi="Myriad Pro"/>
              </w:rPr>
            </w:pPr>
          </w:p>
        </w:tc>
        <w:tc>
          <w:tcPr>
            <w:tcW w:w="3495" w:type="dxa"/>
          </w:tcPr>
          <w:p w14:paraId="591351E9" w14:textId="64E9D6E1" w:rsidR="00722285" w:rsidRPr="00A45272" w:rsidRDefault="00E02DE3" w:rsidP="001D2A42">
            <w:pPr>
              <w:rPr>
                <w:rFonts w:ascii="Myriad Pro" w:hAnsi="Myriad Pro"/>
              </w:rPr>
            </w:pPr>
            <w:r>
              <w:rPr>
                <w:rFonts w:ascii="Myriad Pro" w:hAnsi="Myriad Pro"/>
              </w:rPr>
              <w:t>5+ active participation and partnered through registrar.</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43A7A49F" w14:textId="46C3AED2" w:rsidR="00F55C0A" w:rsidRPr="00403E8D"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r w:rsidR="00403E8D">
        <w:rPr>
          <w:rFonts w:ascii="Myriad Pro" w:hAnsi="Myriad Pro"/>
        </w:rPr>
        <w:br/>
      </w:r>
      <w:r w:rsidR="00403E8D">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Pr="00403E8D">
        <w:rPr>
          <w:rFonts w:ascii="Myriad Pro" w:hAnsi="Myriad Pro"/>
        </w:rPr>
        <w:br/>
      </w:r>
      <w:r w:rsidRPr="00403E8D">
        <w:rPr>
          <w:rFonts w:ascii="Myriad Pro" w:hAnsi="Myriad Pro"/>
        </w:rPr>
        <w:br/>
      </w:r>
    </w:p>
    <w:p w14:paraId="1163358A" w14:textId="36C47485"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403E8D">
        <w:rPr>
          <w:rFonts w:ascii="Myriad Pro" w:hAnsi="Myriad Pro"/>
        </w:rPr>
        <w:br/>
      </w:r>
      <w:r w:rsidR="00403E8D">
        <w:rPr>
          <w:rFonts w:ascii="Myriad Pro" w:hAnsi="Myriad Pro"/>
        </w:rPr>
        <w:br/>
        <w:t>Students are not required to participate in a work-based learning opportunity.</w:t>
      </w:r>
    </w:p>
    <w:p w14:paraId="06DA6105" w14:textId="77777777" w:rsidR="007B2071" w:rsidRPr="00E02DE3" w:rsidRDefault="007B2071" w:rsidP="00E02DE3">
      <w:pPr>
        <w:spacing w:after="0" w:line="240" w:lineRule="auto"/>
        <w:rPr>
          <w:rFonts w:ascii="Myriad Pro" w:hAnsi="Myriad Pro"/>
        </w:rPr>
      </w:pPr>
    </w:p>
    <w:p w14:paraId="2901672A" w14:textId="5E960379" w:rsidR="00B6090F" w:rsidRPr="00403E8D"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r w:rsidR="00403E8D">
        <w:rPr>
          <w:rFonts w:ascii="Myriad Pro" w:hAnsi="Myriad Pro"/>
        </w:rPr>
        <w:br/>
      </w:r>
      <w:r w:rsidR="00403E8D">
        <w:rPr>
          <w:rFonts w:ascii="Myriad Pro" w:hAnsi="Myriad Pro"/>
        </w:rPr>
        <w:br/>
        <w:t xml:space="preserve">Many students do participate in Internships, </w:t>
      </w:r>
      <w:proofErr w:type="spellStart"/>
      <w:r w:rsidR="00403E8D">
        <w:rPr>
          <w:rFonts w:ascii="Myriad Pro" w:hAnsi="Myriad Pro"/>
        </w:rPr>
        <w:t>CoOps</w:t>
      </w:r>
      <w:proofErr w:type="spellEnd"/>
      <w:r w:rsidR="00403E8D">
        <w:rPr>
          <w:rFonts w:ascii="Myriad Pro" w:hAnsi="Myriad Pro"/>
        </w:rPr>
        <w:t xml:space="preserve"> or Shadowing opportunities available through their program advisory board members or Educator collaborations.</w:t>
      </w:r>
      <w:r w:rsidR="00B6090F" w:rsidRPr="00403E8D">
        <w:rPr>
          <w:rFonts w:ascii="Myriad Pro" w:hAnsi="Myriad Pro"/>
        </w:rPr>
        <w:br/>
      </w:r>
      <w:r w:rsidR="00B6090F" w:rsidRPr="00403E8D">
        <w:rPr>
          <w:rFonts w:ascii="Myriad Pro" w:hAnsi="Myriad Pro"/>
        </w:rPr>
        <w:br/>
      </w:r>
    </w:p>
    <w:p w14:paraId="35DF7619" w14:textId="516E599B"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r w:rsidR="00403E8D">
        <w:rPr>
          <w:rFonts w:ascii="Myriad Pro" w:hAnsi="Myriad Pro"/>
        </w:rPr>
        <w:br/>
      </w:r>
      <w:r w:rsidR="00403E8D">
        <w:rPr>
          <w:rFonts w:ascii="Myriad Pro" w:hAnsi="Myriad Pro"/>
        </w:rPr>
        <w:br/>
      </w:r>
      <w:r w:rsidR="00403E8D" w:rsidRPr="00995D97">
        <w:rPr>
          <w:rFonts w:ascii="Myriad Pro" w:hAnsi="Myriad Pro"/>
        </w:rPr>
        <w:t>Each</w:t>
      </w:r>
      <w:r w:rsidR="00403E8D">
        <w:rPr>
          <w:rFonts w:ascii="Myriad Pro" w:hAnsi="Myriad Pro"/>
        </w:rPr>
        <w:t xml:space="preserve"> CTE program offers certification that is industry-based. Students are prepared for the ASE Exam.</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Ind w:w="558" w:type="dxa"/>
        <w:tblLook w:val="04A0" w:firstRow="1" w:lastRow="0" w:firstColumn="1" w:lastColumn="0" w:noHBand="0" w:noVBand="1"/>
      </w:tblPr>
      <w:tblGrid>
        <w:gridCol w:w="4230"/>
        <w:gridCol w:w="4216"/>
      </w:tblGrid>
      <w:tr w:rsidR="00FA22B9" w14:paraId="4B7B30FE" w14:textId="77777777" w:rsidTr="00403E8D">
        <w:trPr>
          <w:trHeight w:val="317"/>
        </w:trPr>
        <w:tc>
          <w:tcPr>
            <w:tcW w:w="4230"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216"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403E8D">
        <w:trPr>
          <w:trHeight w:val="336"/>
        </w:trPr>
        <w:tc>
          <w:tcPr>
            <w:tcW w:w="4230" w:type="dxa"/>
          </w:tcPr>
          <w:p w14:paraId="14603A96" w14:textId="77C71AD9" w:rsidR="00FA22B9" w:rsidRDefault="00E02DE3" w:rsidP="00D74E2F">
            <w:pPr>
              <w:rPr>
                <w:rFonts w:ascii="Myriad Pro" w:hAnsi="Myriad Pro"/>
              </w:rPr>
            </w:pPr>
            <w:r>
              <w:rPr>
                <w:rFonts w:ascii="Myriad Pro" w:hAnsi="Myriad Pro"/>
              </w:rPr>
              <w:t>NATEF</w:t>
            </w:r>
          </w:p>
        </w:tc>
        <w:tc>
          <w:tcPr>
            <w:tcW w:w="4216" w:type="dxa"/>
          </w:tcPr>
          <w:p w14:paraId="4AB44237" w14:textId="3C101E7C" w:rsidR="00FA22B9" w:rsidRDefault="00403E8D" w:rsidP="00D74E2F">
            <w:pPr>
              <w:rPr>
                <w:rFonts w:ascii="Myriad Pro" w:hAnsi="Myriad Pro"/>
              </w:rPr>
            </w:pPr>
            <w:r>
              <w:rPr>
                <w:rFonts w:ascii="Myriad Pro" w:hAnsi="Myriad Pro"/>
              </w:rPr>
              <w:t>OSHA-10</w:t>
            </w:r>
          </w:p>
        </w:tc>
      </w:tr>
      <w:tr w:rsidR="00FA22B9" w14:paraId="55E85403" w14:textId="77777777" w:rsidTr="00403E8D">
        <w:trPr>
          <w:trHeight w:val="317"/>
        </w:trPr>
        <w:tc>
          <w:tcPr>
            <w:tcW w:w="4230" w:type="dxa"/>
          </w:tcPr>
          <w:p w14:paraId="5A05A187" w14:textId="2C5DE2A8" w:rsidR="00FA22B9" w:rsidRDefault="00E02DE3" w:rsidP="00D74E2F">
            <w:pPr>
              <w:rPr>
                <w:rFonts w:ascii="Myriad Pro" w:hAnsi="Myriad Pro"/>
              </w:rPr>
            </w:pPr>
            <w:r>
              <w:rPr>
                <w:rFonts w:ascii="Myriad Pro" w:hAnsi="Myriad Pro"/>
              </w:rPr>
              <w:t>ASE</w:t>
            </w:r>
          </w:p>
        </w:tc>
        <w:tc>
          <w:tcPr>
            <w:tcW w:w="4216" w:type="dxa"/>
          </w:tcPr>
          <w:p w14:paraId="25129B9B" w14:textId="77777777" w:rsidR="00FA22B9" w:rsidRDefault="00FA22B9" w:rsidP="00D74E2F">
            <w:pPr>
              <w:rPr>
                <w:rFonts w:ascii="Myriad Pro" w:hAnsi="Myriad Pro"/>
              </w:rPr>
            </w:pPr>
          </w:p>
        </w:tc>
      </w:tr>
      <w:tr w:rsidR="00FA22B9" w14:paraId="0FC79A30" w14:textId="77777777" w:rsidTr="00403E8D">
        <w:trPr>
          <w:trHeight w:val="317"/>
        </w:trPr>
        <w:tc>
          <w:tcPr>
            <w:tcW w:w="4230" w:type="dxa"/>
          </w:tcPr>
          <w:p w14:paraId="0E47E5CD" w14:textId="28CD0932" w:rsidR="00FA22B9" w:rsidRDefault="00E02DE3" w:rsidP="00D74E2F">
            <w:pPr>
              <w:rPr>
                <w:rFonts w:ascii="Myriad Pro" w:hAnsi="Myriad Pro"/>
              </w:rPr>
            </w:pPr>
            <w:r>
              <w:rPr>
                <w:rFonts w:ascii="Myriad Pro" w:hAnsi="Myriad Pro"/>
              </w:rPr>
              <w:t>Valvoline</w:t>
            </w:r>
          </w:p>
        </w:tc>
        <w:tc>
          <w:tcPr>
            <w:tcW w:w="4216" w:type="dxa"/>
          </w:tcPr>
          <w:p w14:paraId="77479261" w14:textId="77777777" w:rsidR="00FA22B9" w:rsidRDefault="00FA22B9" w:rsidP="00D74E2F">
            <w:pPr>
              <w:rPr>
                <w:rFonts w:ascii="Myriad Pro" w:hAnsi="Myriad Pro"/>
              </w:rPr>
            </w:pPr>
          </w:p>
        </w:tc>
      </w:tr>
    </w:tbl>
    <w:p w14:paraId="5DE6FA3A" w14:textId="77777777" w:rsidR="00153C91" w:rsidRDefault="0009687C" w:rsidP="00153C91">
      <w:pPr>
        <w:spacing w:after="0" w:line="240" w:lineRule="auto"/>
        <w:rPr>
          <w:rFonts w:ascii="Myriad Pro" w:hAnsi="Myriad Pro"/>
        </w:rPr>
      </w:pPr>
      <w:r w:rsidRPr="00A45272">
        <w:rPr>
          <w:rFonts w:ascii="Myriad Pro" w:hAnsi="Myriad Pro"/>
        </w:rPr>
        <w:lastRenderedPageBreak/>
        <w:br/>
      </w:r>
      <w:r w:rsidRPr="00A45272">
        <w:rPr>
          <w:rFonts w:ascii="Myriad Pro" w:hAnsi="Myriad Pro"/>
        </w:rPr>
        <w:br/>
      </w:r>
    </w:p>
    <w:p w14:paraId="0798F52B" w14:textId="1E5EC5F3" w:rsidR="00D55E06" w:rsidRPr="00153C91" w:rsidRDefault="0009687C" w:rsidP="00153C91">
      <w:pPr>
        <w:pStyle w:val="ListParagraph"/>
        <w:numPr>
          <w:ilvl w:val="0"/>
          <w:numId w:val="1"/>
        </w:numPr>
        <w:spacing w:after="0" w:line="240" w:lineRule="auto"/>
        <w:rPr>
          <w:rFonts w:ascii="Myriad Pro" w:hAnsi="Myriad Pro"/>
        </w:rPr>
      </w:pPr>
      <w:r w:rsidRPr="00153C91">
        <w:rPr>
          <w:rFonts w:ascii="Myriad Pro" w:hAnsi="Myriad Pro"/>
        </w:rPr>
        <w:t xml:space="preserve">Please describe </w:t>
      </w:r>
      <w:r w:rsidR="001225DE" w:rsidRPr="00153C91">
        <w:rPr>
          <w:rFonts w:ascii="Myriad Pro" w:hAnsi="Myriad Pro"/>
        </w:rPr>
        <w:t>how you</w:t>
      </w:r>
      <w:r w:rsidR="007B2071" w:rsidRPr="00153C91">
        <w:rPr>
          <w:rFonts w:ascii="Myriad Pro" w:hAnsi="Myriad Pro"/>
        </w:rPr>
        <w:t xml:space="preserve"> ensure the </w:t>
      </w:r>
      <w:r w:rsidR="002308F4" w:rsidRPr="00153C91">
        <w:rPr>
          <w:rFonts w:ascii="Myriad Pro" w:hAnsi="Myriad Pro"/>
        </w:rPr>
        <w:t>instructors</w:t>
      </w:r>
      <w:r w:rsidRPr="00153C91">
        <w:rPr>
          <w:rFonts w:ascii="Myriad Pro" w:hAnsi="Myriad Pro"/>
        </w:rPr>
        <w:t xml:space="preserve"> </w:t>
      </w:r>
      <w:r w:rsidR="007B2071" w:rsidRPr="00153C91">
        <w:rPr>
          <w:rFonts w:ascii="Myriad Pro" w:hAnsi="Myriad Pro"/>
        </w:rPr>
        <w:t xml:space="preserve">teaching this program of study </w:t>
      </w:r>
      <w:r w:rsidRPr="00153C91">
        <w:rPr>
          <w:rFonts w:ascii="Myriad Pro" w:hAnsi="Myriad Pro"/>
        </w:rPr>
        <w:t>keep up-to-date on advancements in the workplace</w:t>
      </w:r>
      <w:r w:rsidR="00592A57" w:rsidRPr="00153C91">
        <w:rPr>
          <w:rFonts w:ascii="Myriad Pro" w:hAnsi="Myriad Pro"/>
        </w:rPr>
        <w:t xml:space="preserve">, such as </w:t>
      </w:r>
      <w:r w:rsidR="002308F4" w:rsidRPr="00153C91">
        <w:rPr>
          <w:rFonts w:ascii="Myriad Pro" w:hAnsi="Myriad Pro"/>
        </w:rPr>
        <w:t xml:space="preserve">participating in </w:t>
      </w:r>
      <w:r w:rsidR="00592A57" w:rsidRPr="00153C91">
        <w:rPr>
          <w:rFonts w:ascii="Myriad Pro" w:hAnsi="Myriad Pro"/>
        </w:rPr>
        <w:t>externships</w:t>
      </w:r>
      <w:r w:rsidR="00C31726" w:rsidRPr="00153C91">
        <w:rPr>
          <w:rFonts w:ascii="Myriad Pro" w:hAnsi="Myriad Pro"/>
        </w:rPr>
        <w:t xml:space="preserve"> and/or </w:t>
      </w:r>
      <w:r w:rsidR="003F4C73" w:rsidRPr="00153C91">
        <w:rPr>
          <w:rFonts w:ascii="Myriad Pro" w:hAnsi="Myriad Pro"/>
        </w:rPr>
        <w:t>requirements to have current industry credentials</w:t>
      </w:r>
      <w:r w:rsidR="00592A57" w:rsidRPr="00153C91">
        <w:rPr>
          <w:rFonts w:ascii="Myriad Pro" w:hAnsi="Myriad Pro"/>
        </w:rPr>
        <w:t>.</w:t>
      </w:r>
      <w:r w:rsidRPr="00153C91">
        <w:rPr>
          <w:rFonts w:ascii="Myriad Pro" w:hAnsi="Myriad Pro"/>
        </w:rPr>
        <w:t xml:space="preserve"> </w:t>
      </w:r>
      <w:r w:rsidR="004618D7" w:rsidRPr="00153C91">
        <w:rPr>
          <w:rFonts w:ascii="Myriad Pro" w:hAnsi="Myriad Pro"/>
        </w:rPr>
        <w:t xml:space="preserve"> (</w:t>
      </w:r>
      <w:proofErr w:type="gramStart"/>
      <w:r w:rsidR="004618D7" w:rsidRPr="00153C91">
        <w:rPr>
          <w:rFonts w:ascii="Myriad Pro" w:hAnsi="Myriad Pro"/>
          <w:u w:val="single"/>
        </w:rPr>
        <w:t>100 word</w:t>
      </w:r>
      <w:proofErr w:type="gramEnd"/>
      <w:r w:rsidR="004618D7" w:rsidRPr="00153C91">
        <w:rPr>
          <w:rFonts w:ascii="Myriad Pro" w:hAnsi="Myriad Pro"/>
          <w:u w:val="single"/>
        </w:rPr>
        <w:t xml:space="preserve"> limit</w:t>
      </w:r>
      <w:r w:rsidR="001225DE" w:rsidRPr="00153C91">
        <w:rPr>
          <w:rFonts w:ascii="Myriad Pro" w:hAnsi="Myriad Pro"/>
          <w:u w:val="single"/>
        </w:rPr>
        <w:t>)</w:t>
      </w:r>
      <w:r w:rsidR="00E93226" w:rsidRPr="00153C91">
        <w:rPr>
          <w:rFonts w:ascii="Myriad Pro" w:hAnsi="Myriad Pro"/>
          <w:u w:val="single"/>
        </w:rPr>
        <w:br/>
      </w:r>
      <w:r w:rsidR="00E93226" w:rsidRPr="00153C91">
        <w:rPr>
          <w:rFonts w:ascii="Myriad Pro" w:hAnsi="Myriad Pro"/>
          <w:highlight w:val="yellow"/>
          <w:u w:val="single"/>
        </w:rPr>
        <w:br/>
      </w:r>
      <w:r w:rsidR="00E93226" w:rsidRPr="00C22F86">
        <w:t xml:space="preserve">Instructors are given goals yearly that align with their </w:t>
      </w:r>
      <w:r w:rsidR="00E93226">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E02DE3">
        <w:trPr>
          <w:trHeight w:val="386"/>
        </w:trPr>
        <w:tc>
          <w:tcPr>
            <w:tcW w:w="2276" w:type="dxa"/>
          </w:tcPr>
          <w:p w14:paraId="1BB10532" w14:textId="5CE6858D" w:rsidR="00235BE1" w:rsidRPr="00A45272" w:rsidRDefault="00E02DE3" w:rsidP="001D2A42">
            <w:pPr>
              <w:rPr>
                <w:rFonts w:ascii="Myriad Pro" w:hAnsi="Myriad Pro"/>
              </w:rPr>
            </w:pPr>
            <w:r>
              <w:rPr>
                <w:rFonts w:ascii="Myriad Pro" w:hAnsi="Myriad Pro"/>
              </w:rPr>
              <w:t>Somerville DPW</w:t>
            </w:r>
          </w:p>
        </w:tc>
        <w:tc>
          <w:tcPr>
            <w:tcW w:w="3843" w:type="dxa"/>
          </w:tcPr>
          <w:p w14:paraId="71211D76" w14:textId="129E4984" w:rsidR="00235BE1" w:rsidRPr="00A45272" w:rsidRDefault="00E02DE3" w:rsidP="001D2A42">
            <w:pPr>
              <w:rPr>
                <w:rFonts w:ascii="Myriad Pro" w:hAnsi="Myriad Pro"/>
              </w:rPr>
            </w:pPr>
            <w:r>
              <w:rPr>
                <w:rFonts w:ascii="Myriad Pro" w:hAnsi="Myriad Pro"/>
              </w:rPr>
              <w:t>Advisory Committee</w:t>
            </w:r>
          </w:p>
        </w:tc>
        <w:tc>
          <w:tcPr>
            <w:tcW w:w="3372" w:type="dxa"/>
          </w:tcPr>
          <w:p w14:paraId="1E7430F4" w14:textId="5A506368" w:rsidR="00235BE1" w:rsidRPr="00A45272" w:rsidRDefault="00E02DE3" w:rsidP="001D2A42">
            <w:pPr>
              <w:rPr>
                <w:rFonts w:ascii="Myriad Pro" w:hAnsi="Myriad Pro"/>
              </w:rPr>
            </w:pPr>
            <w:r>
              <w:rPr>
                <w:rFonts w:ascii="Myriad Pro" w:hAnsi="Myriad Pro"/>
              </w:rPr>
              <w:t>10+ years of active participation</w:t>
            </w:r>
          </w:p>
        </w:tc>
      </w:tr>
      <w:tr w:rsidR="00235BE1" w:rsidRPr="00A45272" w14:paraId="386A418F" w14:textId="77777777" w:rsidTr="00E02DE3">
        <w:trPr>
          <w:trHeight w:val="620"/>
        </w:trPr>
        <w:tc>
          <w:tcPr>
            <w:tcW w:w="2276" w:type="dxa"/>
          </w:tcPr>
          <w:p w14:paraId="4FC69165" w14:textId="5FBE9104" w:rsidR="00235BE1" w:rsidRPr="00A45272" w:rsidRDefault="00E02DE3" w:rsidP="001D2A42">
            <w:pPr>
              <w:rPr>
                <w:rFonts w:ascii="Myriad Pro" w:hAnsi="Myriad Pro"/>
              </w:rPr>
            </w:pPr>
            <w:r>
              <w:rPr>
                <w:rFonts w:ascii="Myriad Pro" w:hAnsi="Myriad Pro"/>
              </w:rPr>
              <w:t>NAPA Medford</w:t>
            </w:r>
          </w:p>
        </w:tc>
        <w:tc>
          <w:tcPr>
            <w:tcW w:w="3843" w:type="dxa"/>
          </w:tcPr>
          <w:p w14:paraId="0FC4A0B1" w14:textId="5A781C76" w:rsidR="00235BE1" w:rsidRPr="00A45272" w:rsidRDefault="00E02DE3" w:rsidP="001D2A42">
            <w:pPr>
              <w:rPr>
                <w:rFonts w:ascii="Myriad Pro" w:hAnsi="Myriad Pro"/>
              </w:rPr>
            </w:pPr>
            <w:r>
              <w:rPr>
                <w:rFonts w:ascii="Myriad Pro" w:hAnsi="Myriad Pro"/>
              </w:rPr>
              <w:t>Training students and Instructors with ever changing technology</w:t>
            </w:r>
          </w:p>
        </w:tc>
        <w:tc>
          <w:tcPr>
            <w:tcW w:w="3372" w:type="dxa"/>
          </w:tcPr>
          <w:p w14:paraId="05556758" w14:textId="29BE2B65" w:rsidR="00235BE1" w:rsidRPr="00A45272" w:rsidRDefault="00E02DE3" w:rsidP="001D2A42">
            <w:pPr>
              <w:rPr>
                <w:rFonts w:ascii="Myriad Pro" w:hAnsi="Myriad Pro"/>
              </w:rPr>
            </w:pPr>
            <w:r>
              <w:rPr>
                <w:rFonts w:ascii="Myriad Pro" w:hAnsi="Myriad Pro"/>
              </w:rPr>
              <w:t>15+ years of active participation</w:t>
            </w:r>
          </w:p>
        </w:tc>
      </w:tr>
      <w:tr w:rsidR="00E02DE3" w:rsidRPr="00A45272" w14:paraId="4B879661" w14:textId="77777777" w:rsidTr="00E02DE3">
        <w:trPr>
          <w:trHeight w:val="620"/>
        </w:trPr>
        <w:tc>
          <w:tcPr>
            <w:tcW w:w="2276" w:type="dxa"/>
          </w:tcPr>
          <w:p w14:paraId="72C62166" w14:textId="54AB5C2A" w:rsidR="00E02DE3" w:rsidRDefault="00E02DE3" w:rsidP="001D2A42">
            <w:pPr>
              <w:rPr>
                <w:rFonts w:ascii="Myriad Pro" w:hAnsi="Myriad Pro"/>
              </w:rPr>
            </w:pPr>
            <w:r>
              <w:rPr>
                <w:rFonts w:ascii="Myriad Pro" w:hAnsi="Myriad Pro"/>
              </w:rPr>
              <w:t>Honda of Boston</w:t>
            </w:r>
          </w:p>
        </w:tc>
        <w:tc>
          <w:tcPr>
            <w:tcW w:w="3843" w:type="dxa"/>
          </w:tcPr>
          <w:p w14:paraId="35FC47C2" w14:textId="4CFB899B" w:rsidR="00E02DE3" w:rsidRDefault="00E02DE3" w:rsidP="001D2A42">
            <w:pPr>
              <w:rPr>
                <w:rFonts w:ascii="Myriad Pro" w:hAnsi="Myriad Pro"/>
              </w:rPr>
            </w:pPr>
            <w:r>
              <w:rPr>
                <w:rFonts w:ascii="Myriad Pro" w:hAnsi="Myriad Pro"/>
              </w:rPr>
              <w:t>Advisory Committee and Employment Trends</w:t>
            </w:r>
          </w:p>
        </w:tc>
        <w:tc>
          <w:tcPr>
            <w:tcW w:w="3372" w:type="dxa"/>
          </w:tcPr>
          <w:p w14:paraId="2A59A123" w14:textId="502A743E" w:rsidR="00E02DE3" w:rsidRDefault="00E02DE3" w:rsidP="001D2A42">
            <w:pPr>
              <w:rPr>
                <w:rFonts w:ascii="Myriad Pro" w:hAnsi="Myriad Pro"/>
              </w:rPr>
            </w:pPr>
            <w:r>
              <w:rPr>
                <w:rFonts w:ascii="Myriad Pro" w:hAnsi="Myriad Pro"/>
              </w:rPr>
              <w:t>10+ years of active participation</w:t>
            </w:r>
          </w:p>
        </w:tc>
      </w:tr>
    </w:tbl>
    <w:p w14:paraId="75705E16"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294961F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79F6DF15" w14:textId="77777777" w:rsidR="00A9511D" w:rsidRPr="00A45272" w:rsidRDefault="00A9511D" w:rsidP="00D74E2F">
      <w:pPr>
        <w:spacing w:after="0" w:line="240" w:lineRule="auto"/>
        <w:rPr>
          <w:rFonts w:ascii="Myriad Pro" w:hAnsi="Myriad Pro"/>
        </w:rPr>
      </w:pPr>
      <w:bookmarkStart w:id="0" w:name="_GoBack"/>
      <w:bookmarkEnd w:id="0"/>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2D2F3972" w14:textId="07BA3F26" w:rsidR="009307CC" w:rsidRPr="00A45272" w:rsidRDefault="00E02DE3" w:rsidP="001D2A42">
            <w:pPr>
              <w:rPr>
                <w:rFonts w:ascii="Myriad Pro" w:hAnsi="Myriad Pro"/>
              </w:rPr>
            </w:pPr>
            <w:r>
              <w:rPr>
                <w:rFonts w:ascii="Myriad Pro" w:hAnsi="Myriad Pro"/>
              </w:rPr>
              <w:t>Herb Chambers Mercedes</w:t>
            </w:r>
          </w:p>
        </w:tc>
        <w:tc>
          <w:tcPr>
            <w:tcW w:w="3956" w:type="dxa"/>
          </w:tcPr>
          <w:p w14:paraId="07BB8C94" w14:textId="0F15595E" w:rsidR="009307CC" w:rsidRPr="00A45272" w:rsidRDefault="00E02DE3" w:rsidP="001D2A42">
            <w:pPr>
              <w:rPr>
                <w:rFonts w:ascii="Myriad Pro" w:hAnsi="Myriad Pro"/>
              </w:rPr>
            </w:pPr>
            <w:r>
              <w:rPr>
                <w:rFonts w:ascii="Myriad Pro" w:hAnsi="Myriad Pro"/>
              </w:rPr>
              <w:t>Co-Op Partner</w:t>
            </w:r>
          </w:p>
        </w:tc>
        <w:tc>
          <w:tcPr>
            <w:tcW w:w="3487" w:type="dxa"/>
          </w:tcPr>
          <w:p w14:paraId="410CCC27" w14:textId="41122658" w:rsidR="009307CC" w:rsidRPr="00A45272" w:rsidRDefault="00E02DE3" w:rsidP="001D2A42">
            <w:pPr>
              <w:rPr>
                <w:rFonts w:ascii="Myriad Pro" w:hAnsi="Myriad Pro"/>
              </w:rPr>
            </w:pPr>
            <w:r>
              <w:rPr>
                <w:rFonts w:ascii="Myriad Pro" w:hAnsi="Myriad Pro"/>
              </w:rPr>
              <w:t>4+ years of active participation</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A027E" w14:textId="77777777" w:rsidR="000B399E" w:rsidRDefault="000B399E" w:rsidP="00716A7F">
      <w:pPr>
        <w:spacing w:after="0" w:line="240" w:lineRule="auto"/>
      </w:pPr>
      <w:r>
        <w:separator/>
      </w:r>
    </w:p>
  </w:endnote>
  <w:endnote w:type="continuationSeparator" w:id="0">
    <w:p w14:paraId="525E0E79" w14:textId="77777777" w:rsidR="000B399E" w:rsidRDefault="000B399E"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E93226" w:rsidRDefault="00E93226">
        <w:pPr>
          <w:pStyle w:val="Footer"/>
          <w:jc w:val="right"/>
        </w:pPr>
        <w:r>
          <w:fldChar w:fldCharType="begin"/>
        </w:r>
        <w:r>
          <w:instrText xml:space="preserve"> PAGE   \* MERGEFORMAT </w:instrText>
        </w:r>
        <w:r>
          <w:fldChar w:fldCharType="separate"/>
        </w:r>
        <w:r w:rsidR="00153C91">
          <w:rPr>
            <w:noProof/>
          </w:rPr>
          <w:t>13</w:t>
        </w:r>
        <w:r>
          <w:rPr>
            <w:noProof/>
          </w:rPr>
          <w:fldChar w:fldCharType="end"/>
        </w:r>
      </w:p>
    </w:sdtContent>
  </w:sdt>
  <w:p w14:paraId="326718B2" w14:textId="77777777" w:rsidR="00E93226" w:rsidRDefault="00E932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9AFAD" w14:textId="77777777" w:rsidR="000B399E" w:rsidRDefault="000B399E" w:rsidP="00716A7F">
      <w:pPr>
        <w:spacing w:after="0" w:line="240" w:lineRule="auto"/>
      </w:pPr>
      <w:r>
        <w:separator/>
      </w:r>
    </w:p>
  </w:footnote>
  <w:footnote w:type="continuationSeparator" w:id="0">
    <w:p w14:paraId="0FC456E8" w14:textId="77777777" w:rsidR="000B399E" w:rsidRDefault="000B399E"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E93226" w:rsidRDefault="00E93226"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E93226" w:rsidRDefault="00E9322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326B5"/>
    <w:multiLevelType w:val="multilevel"/>
    <w:tmpl w:val="39CA72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017A15"/>
    <w:multiLevelType w:val="hybridMultilevel"/>
    <w:tmpl w:val="B3EE3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5"/>
  </w:num>
  <w:num w:numId="6">
    <w:abstractNumId w:val="1"/>
  </w:num>
  <w:num w:numId="7">
    <w:abstractNumId w:val="9"/>
  </w:num>
  <w:num w:numId="8">
    <w:abstractNumId w:val="12"/>
  </w:num>
  <w:num w:numId="9">
    <w:abstractNumId w:val="4"/>
  </w:num>
  <w:num w:numId="10">
    <w:abstractNumId w:val="0"/>
  </w:num>
  <w:num w:numId="11">
    <w:abstractNumId w:val="11"/>
  </w:num>
  <w:num w:numId="12">
    <w:abstractNumId w:val="18"/>
  </w:num>
  <w:num w:numId="13">
    <w:abstractNumId w:val="7"/>
  </w:num>
  <w:num w:numId="14">
    <w:abstractNumId w:val="13"/>
  </w:num>
  <w:num w:numId="15">
    <w:abstractNumId w:val="15"/>
  </w:num>
  <w:num w:numId="16">
    <w:abstractNumId w:val="3"/>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399E"/>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3C91"/>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03E8D"/>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74C"/>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A2B3F"/>
    <w:rsid w:val="007B2071"/>
    <w:rsid w:val="007B3ED4"/>
    <w:rsid w:val="007B774E"/>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55C57"/>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2C9"/>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421A6"/>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2DE3"/>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322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565F0"/>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6490">
      <w:bodyDiv w:val="1"/>
      <w:marLeft w:val="0"/>
      <w:marRight w:val="0"/>
      <w:marTop w:val="0"/>
      <w:marBottom w:val="0"/>
      <w:divBdr>
        <w:top w:val="none" w:sz="0" w:space="0" w:color="auto"/>
        <w:left w:val="none" w:sz="0" w:space="0" w:color="auto"/>
        <w:bottom w:val="none" w:sz="0" w:space="0" w:color="auto"/>
        <w:right w:val="none" w:sz="0" w:space="0" w:color="auto"/>
      </w:divBdr>
    </w:div>
    <w:div w:id="731734528">
      <w:bodyDiv w:val="1"/>
      <w:marLeft w:val="0"/>
      <w:marRight w:val="0"/>
      <w:marTop w:val="0"/>
      <w:marBottom w:val="0"/>
      <w:divBdr>
        <w:top w:val="none" w:sz="0" w:space="0" w:color="auto"/>
        <w:left w:val="none" w:sz="0" w:space="0" w:color="auto"/>
        <w:bottom w:val="none" w:sz="0" w:space="0" w:color="auto"/>
        <w:right w:val="none" w:sz="0" w:space="0" w:color="auto"/>
      </w:divBdr>
    </w:div>
    <w:div w:id="9485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B7B5-EC11-D14E-9755-D047E2C1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4364</Words>
  <Characters>24877</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8</cp:revision>
  <dcterms:created xsi:type="dcterms:W3CDTF">2017-11-07T00:59:00Z</dcterms:created>
  <dcterms:modified xsi:type="dcterms:W3CDTF">2017-11-14T18:17:00Z</dcterms:modified>
</cp:coreProperties>
</file>