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25"/>
        <w:gridCol w:w="4410"/>
        <w:gridCol w:w="4855"/>
      </w:tblGrid>
      <w:tr w:rsidR="00876255" w:rsidTr="00EF2991">
        <w:tc>
          <w:tcPr>
            <w:tcW w:w="10790" w:type="dxa"/>
            <w:gridSpan w:val="3"/>
          </w:tcPr>
          <w:p w:rsidR="00876255" w:rsidRPr="00876255" w:rsidRDefault="00876255" w:rsidP="00876255">
            <w:pPr>
              <w:jc w:val="center"/>
              <w:rPr>
                <w:b/>
              </w:rPr>
            </w:pPr>
            <w:r>
              <w:rPr>
                <w:b/>
              </w:rPr>
              <w:t>Program Highlights</w:t>
            </w:r>
          </w:p>
        </w:tc>
      </w:tr>
      <w:tr w:rsidR="00876255" w:rsidTr="00876255">
        <w:tc>
          <w:tcPr>
            <w:tcW w:w="1525" w:type="dxa"/>
          </w:tcPr>
          <w:p w:rsidR="00876255" w:rsidRPr="00876255" w:rsidRDefault="00876255" w:rsidP="00876255">
            <w:pPr>
              <w:jc w:val="center"/>
              <w:rPr>
                <w:b/>
              </w:rPr>
            </w:pPr>
            <w:r w:rsidRPr="00876255">
              <w:rPr>
                <w:b/>
              </w:rPr>
              <w:t>Topic Area</w:t>
            </w:r>
          </w:p>
        </w:tc>
        <w:tc>
          <w:tcPr>
            <w:tcW w:w="4410" w:type="dxa"/>
          </w:tcPr>
          <w:p w:rsidR="00876255" w:rsidRPr="00876255" w:rsidRDefault="00876255" w:rsidP="00876255">
            <w:pPr>
              <w:jc w:val="center"/>
              <w:rPr>
                <w:b/>
              </w:rPr>
            </w:pPr>
            <w:r w:rsidRPr="00876255">
              <w:rPr>
                <w:b/>
              </w:rPr>
              <w:t>Tennessee</w:t>
            </w:r>
          </w:p>
        </w:tc>
        <w:tc>
          <w:tcPr>
            <w:tcW w:w="4855" w:type="dxa"/>
          </w:tcPr>
          <w:p w:rsidR="00876255" w:rsidRPr="00876255" w:rsidRDefault="00876255" w:rsidP="00876255">
            <w:pPr>
              <w:jc w:val="center"/>
              <w:rPr>
                <w:b/>
              </w:rPr>
            </w:pPr>
            <w:r w:rsidRPr="00876255">
              <w:rPr>
                <w:b/>
              </w:rPr>
              <w:t>Oregon</w:t>
            </w:r>
          </w:p>
        </w:tc>
      </w:tr>
      <w:tr w:rsidR="00876255" w:rsidTr="00876255">
        <w:tc>
          <w:tcPr>
            <w:tcW w:w="1525" w:type="dxa"/>
          </w:tcPr>
          <w:p w:rsidR="00876255" w:rsidRDefault="00876255">
            <w:r>
              <w:t>Eligibility Requirements</w:t>
            </w:r>
          </w:p>
        </w:tc>
        <w:tc>
          <w:tcPr>
            <w:tcW w:w="4410" w:type="dxa"/>
          </w:tcPr>
          <w:p w:rsidR="00876255" w:rsidRDefault="00876255">
            <w:r>
              <w:t>Last Dollar</w:t>
            </w:r>
          </w:p>
          <w:p w:rsidR="00876255" w:rsidRDefault="00876255">
            <w:r>
              <w:t xml:space="preserve">Foundations </w:t>
            </w:r>
            <w:r w:rsidR="00CD2197">
              <w:t>have stepped up to help defray “</w:t>
            </w:r>
            <w:r>
              <w:t>other”</w:t>
            </w:r>
            <w:r w:rsidR="00CD2197">
              <w:t xml:space="preserve"> </w:t>
            </w:r>
            <w:r>
              <w:t>costs</w:t>
            </w:r>
          </w:p>
        </w:tc>
        <w:tc>
          <w:tcPr>
            <w:tcW w:w="4855" w:type="dxa"/>
          </w:tcPr>
          <w:p w:rsidR="00876255" w:rsidRPr="00876255" w:rsidRDefault="00876255" w:rsidP="00876255">
            <w:pPr>
              <w:numPr>
                <w:ilvl w:val="0"/>
                <w:numId w:val="1"/>
              </w:numPr>
              <w:spacing w:before="100" w:beforeAutospacing="1" w:after="120" w:line="312" w:lineRule="atLeast"/>
              <w:ind w:left="0"/>
              <w:rPr>
                <w:rFonts w:ascii="Arial" w:eastAsia="Times New Roman" w:hAnsi="Arial" w:cs="Arial"/>
                <w:color w:val="181818"/>
                <w:sz w:val="21"/>
                <w:szCs w:val="21"/>
              </w:rPr>
            </w:pPr>
            <w:r w:rsidRPr="00876255">
              <w:rPr>
                <w:rFonts w:ascii="Arial" w:eastAsia="Times New Roman" w:hAnsi="Arial" w:cs="Arial"/>
                <w:color w:val="181818"/>
                <w:sz w:val="21"/>
                <w:szCs w:val="21"/>
              </w:rPr>
              <w:t>Receive an Oregon high school diploma or GED® in Spring/Summer 2016</w:t>
            </w:r>
          </w:p>
          <w:p w:rsidR="00876255" w:rsidRPr="00876255" w:rsidRDefault="00876255" w:rsidP="00876255">
            <w:pPr>
              <w:numPr>
                <w:ilvl w:val="0"/>
                <w:numId w:val="1"/>
              </w:numPr>
              <w:spacing w:before="100" w:beforeAutospacing="1" w:after="120" w:line="312" w:lineRule="atLeast"/>
              <w:ind w:left="0"/>
              <w:rPr>
                <w:rFonts w:ascii="Arial" w:eastAsia="Times New Roman" w:hAnsi="Arial" w:cs="Arial"/>
                <w:color w:val="181818"/>
                <w:sz w:val="21"/>
                <w:szCs w:val="21"/>
              </w:rPr>
            </w:pPr>
            <w:r w:rsidRPr="00876255">
              <w:rPr>
                <w:rFonts w:ascii="Arial" w:eastAsia="Times New Roman" w:hAnsi="Arial" w:cs="Arial"/>
                <w:color w:val="181818"/>
                <w:sz w:val="21"/>
                <w:szCs w:val="21"/>
              </w:rPr>
              <w:t>Have been an Oregon resident for at least 12 months prior to community college enrollment</w:t>
            </w:r>
          </w:p>
          <w:p w:rsidR="00876255" w:rsidRPr="00876255" w:rsidRDefault="00876255" w:rsidP="00876255">
            <w:pPr>
              <w:numPr>
                <w:ilvl w:val="0"/>
                <w:numId w:val="1"/>
              </w:numPr>
              <w:spacing w:before="100" w:beforeAutospacing="1" w:after="120" w:line="312" w:lineRule="atLeast"/>
              <w:ind w:left="0"/>
              <w:rPr>
                <w:rFonts w:ascii="Arial" w:eastAsia="Times New Roman" w:hAnsi="Arial" w:cs="Arial"/>
                <w:color w:val="181818"/>
                <w:sz w:val="21"/>
                <w:szCs w:val="21"/>
              </w:rPr>
            </w:pPr>
            <w:r w:rsidRPr="00876255">
              <w:rPr>
                <w:rFonts w:ascii="Arial" w:eastAsia="Times New Roman" w:hAnsi="Arial" w:cs="Arial"/>
                <w:color w:val="181818"/>
                <w:sz w:val="21"/>
                <w:szCs w:val="21"/>
              </w:rPr>
              <w:t>Enroll in community college within 6 months of completing high school or GED®</w:t>
            </w:r>
          </w:p>
          <w:p w:rsidR="00876255" w:rsidRPr="00876255" w:rsidRDefault="00876255" w:rsidP="00876255">
            <w:pPr>
              <w:numPr>
                <w:ilvl w:val="0"/>
                <w:numId w:val="1"/>
              </w:numPr>
              <w:spacing w:before="100" w:beforeAutospacing="1" w:after="120" w:line="312" w:lineRule="atLeast"/>
              <w:ind w:left="0"/>
              <w:rPr>
                <w:rFonts w:ascii="Arial" w:eastAsia="Times New Roman" w:hAnsi="Arial" w:cs="Arial"/>
                <w:color w:val="181818"/>
                <w:sz w:val="21"/>
                <w:szCs w:val="21"/>
              </w:rPr>
            </w:pPr>
            <w:r w:rsidRPr="00876255">
              <w:rPr>
                <w:rFonts w:ascii="Arial" w:eastAsia="Times New Roman" w:hAnsi="Arial" w:cs="Arial"/>
                <w:color w:val="181818"/>
                <w:sz w:val="21"/>
                <w:szCs w:val="21"/>
              </w:rPr>
              <w:t>Have a cumulative high school GPA of 2.5 or better</w:t>
            </w:r>
          </w:p>
          <w:p w:rsidR="00876255" w:rsidRPr="00876255" w:rsidRDefault="00876255" w:rsidP="00876255">
            <w:pPr>
              <w:numPr>
                <w:ilvl w:val="0"/>
                <w:numId w:val="1"/>
              </w:numPr>
              <w:spacing w:before="100" w:beforeAutospacing="1" w:after="120" w:line="312" w:lineRule="atLeast"/>
              <w:ind w:left="0"/>
              <w:rPr>
                <w:rFonts w:ascii="Arial" w:eastAsia="Times New Roman" w:hAnsi="Arial" w:cs="Arial"/>
                <w:color w:val="181818"/>
                <w:sz w:val="21"/>
                <w:szCs w:val="21"/>
              </w:rPr>
            </w:pPr>
            <w:r w:rsidRPr="00876255">
              <w:rPr>
                <w:rFonts w:ascii="Arial" w:eastAsia="Times New Roman" w:hAnsi="Arial" w:cs="Arial"/>
                <w:color w:val="181818"/>
                <w:sz w:val="21"/>
                <w:szCs w:val="21"/>
              </w:rPr>
              <w:t>Accept all state and federal grants awarded</w:t>
            </w:r>
          </w:p>
          <w:p w:rsidR="00876255" w:rsidRDefault="00876255"/>
        </w:tc>
      </w:tr>
      <w:tr w:rsidR="00876255" w:rsidTr="00876255">
        <w:tc>
          <w:tcPr>
            <w:tcW w:w="1525" w:type="dxa"/>
          </w:tcPr>
          <w:p w:rsidR="00876255" w:rsidRDefault="00876255">
            <w:r>
              <w:t>Amount of Award</w:t>
            </w:r>
          </w:p>
        </w:tc>
        <w:tc>
          <w:tcPr>
            <w:tcW w:w="4410" w:type="dxa"/>
          </w:tcPr>
          <w:p w:rsidR="00876255" w:rsidRDefault="00876255">
            <w:r>
              <w:t>Tuition and Fees</w:t>
            </w:r>
          </w:p>
          <w:p w:rsidR="00876255" w:rsidRDefault="00876255"/>
          <w:p w:rsidR="00876255" w:rsidRDefault="00876255"/>
        </w:tc>
        <w:tc>
          <w:tcPr>
            <w:tcW w:w="4855" w:type="dxa"/>
          </w:tcPr>
          <w:p w:rsidR="00876255" w:rsidRPr="00876255" w:rsidRDefault="00876255" w:rsidP="00876255">
            <w:pPr>
              <w:numPr>
                <w:ilvl w:val="0"/>
                <w:numId w:val="2"/>
              </w:numPr>
              <w:spacing w:before="100" w:beforeAutospacing="1" w:after="120" w:line="312" w:lineRule="atLeast"/>
              <w:ind w:left="0"/>
              <w:rPr>
                <w:rFonts w:ascii="Arial" w:eastAsia="Times New Roman" w:hAnsi="Arial" w:cs="Arial"/>
                <w:color w:val="181818"/>
                <w:sz w:val="21"/>
                <w:szCs w:val="21"/>
              </w:rPr>
            </w:pPr>
            <w:r w:rsidRPr="00876255">
              <w:rPr>
                <w:rFonts w:ascii="Arial" w:eastAsia="Times New Roman" w:hAnsi="Arial" w:cs="Arial"/>
                <w:color w:val="181818"/>
                <w:sz w:val="21"/>
                <w:szCs w:val="21"/>
              </w:rPr>
              <w:t>There is a $50 per term copay</w:t>
            </w:r>
          </w:p>
          <w:p w:rsidR="00876255" w:rsidRPr="00876255" w:rsidRDefault="00876255" w:rsidP="00876255">
            <w:pPr>
              <w:numPr>
                <w:ilvl w:val="0"/>
                <w:numId w:val="2"/>
              </w:numPr>
              <w:spacing w:before="100" w:beforeAutospacing="1" w:after="120" w:line="312" w:lineRule="atLeast"/>
              <w:ind w:left="0"/>
              <w:rPr>
                <w:rFonts w:ascii="Arial" w:eastAsia="Times New Roman" w:hAnsi="Arial" w:cs="Arial"/>
                <w:color w:val="181818"/>
                <w:sz w:val="21"/>
                <w:szCs w:val="21"/>
              </w:rPr>
            </w:pPr>
            <w:r w:rsidRPr="00876255">
              <w:rPr>
                <w:rFonts w:ascii="Arial" w:eastAsia="Times New Roman" w:hAnsi="Arial" w:cs="Arial"/>
                <w:color w:val="181818"/>
                <w:sz w:val="21"/>
                <w:szCs w:val="21"/>
              </w:rPr>
              <w:t>Eligible full-time, full-year students will receive at least $1,000 annually</w:t>
            </w:r>
          </w:p>
          <w:p w:rsidR="00876255" w:rsidRPr="00876255" w:rsidRDefault="00876255" w:rsidP="00876255">
            <w:pPr>
              <w:numPr>
                <w:ilvl w:val="0"/>
                <w:numId w:val="2"/>
              </w:numPr>
              <w:spacing w:before="100" w:beforeAutospacing="1" w:after="120" w:line="312" w:lineRule="atLeast"/>
              <w:ind w:left="0"/>
              <w:rPr>
                <w:rFonts w:ascii="Arial" w:eastAsia="Times New Roman" w:hAnsi="Arial" w:cs="Arial"/>
                <w:color w:val="181818"/>
                <w:sz w:val="21"/>
                <w:szCs w:val="21"/>
              </w:rPr>
            </w:pPr>
            <w:r w:rsidRPr="00876255">
              <w:rPr>
                <w:rFonts w:ascii="Arial" w:eastAsia="Times New Roman" w:hAnsi="Arial" w:cs="Arial"/>
                <w:color w:val="181818"/>
                <w:sz w:val="21"/>
                <w:szCs w:val="21"/>
              </w:rPr>
              <w:t>Awards will be pro-rated for students attending less than full-time (12 credit hours per term)</w:t>
            </w:r>
          </w:p>
          <w:p w:rsidR="00876255" w:rsidRDefault="00876255"/>
        </w:tc>
      </w:tr>
      <w:tr w:rsidR="00876255" w:rsidTr="00876255">
        <w:tc>
          <w:tcPr>
            <w:tcW w:w="1525" w:type="dxa"/>
          </w:tcPr>
          <w:p w:rsidR="00876255" w:rsidRDefault="00876255">
            <w:r>
              <w:t>How funded</w:t>
            </w:r>
          </w:p>
        </w:tc>
        <w:tc>
          <w:tcPr>
            <w:tcW w:w="4410" w:type="dxa"/>
          </w:tcPr>
          <w:p w:rsidR="00876255" w:rsidRDefault="00876255">
            <w:r>
              <w:t>Funds are based upon interest earned on the education portion of lottery funds</w:t>
            </w:r>
          </w:p>
        </w:tc>
        <w:tc>
          <w:tcPr>
            <w:tcW w:w="4855" w:type="dxa"/>
          </w:tcPr>
          <w:p w:rsidR="00876255" w:rsidRDefault="00876255">
            <w:r>
              <w:t>Oregon’s initial investment is capped at $10 million</w:t>
            </w:r>
          </w:p>
        </w:tc>
      </w:tr>
      <w:tr w:rsidR="00876255" w:rsidTr="00876255">
        <w:tc>
          <w:tcPr>
            <w:tcW w:w="1525" w:type="dxa"/>
          </w:tcPr>
          <w:p w:rsidR="00876255" w:rsidRDefault="00876255">
            <w:r>
              <w:t>Number of Students Served</w:t>
            </w:r>
          </w:p>
        </w:tc>
        <w:tc>
          <w:tcPr>
            <w:tcW w:w="4410" w:type="dxa"/>
          </w:tcPr>
          <w:p w:rsidR="00876255" w:rsidRDefault="00C02090" w:rsidP="00C02090">
            <w:r w:rsidRPr="00C02090">
              <w:t xml:space="preserve">16,291 </w:t>
            </w:r>
            <w:r w:rsidR="00C05CA4">
              <w:t>signed up for 201</w:t>
            </w:r>
            <w:r>
              <w:t>5</w:t>
            </w:r>
            <w:r w:rsidR="00C05CA4">
              <w:t>-201</w:t>
            </w:r>
            <w:r>
              <w:t>6</w:t>
            </w:r>
          </w:p>
        </w:tc>
        <w:tc>
          <w:tcPr>
            <w:tcW w:w="4855" w:type="dxa"/>
          </w:tcPr>
          <w:p w:rsidR="00876255" w:rsidRPr="00876255" w:rsidRDefault="00876255" w:rsidP="00876255">
            <w:pPr>
              <w:pStyle w:val="Default"/>
              <w:rPr>
                <w:rFonts w:asciiTheme="minorHAnsi" w:hAnsiTheme="minorHAnsi"/>
                <w:sz w:val="22"/>
                <w:szCs w:val="22"/>
              </w:rPr>
            </w:pPr>
            <w:r w:rsidRPr="00876255">
              <w:rPr>
                <w:rFonts w:asciiTheme="minorHAnsi" w:hAnsiTheme="minorHAnsi"/>
                <w:sz w:val="22"/>
                <w:szCs w:val="22"/>
              </w:rPr>
              <w:t xml:space="preserve">Approximately 7,000 students are expected to be served in the first year of the program. </w:t>
            </w:r>
          </w:p>
          <w:p w:rsidR="00876255" w:rsidRDefault="00876255">
            <w:pPr>
              <w:rPr>
                <w:rFonts w:ascii="Arial" w:hAnsi="Arial" w:cs="Arial"/>
                <w:color w:val="181818"/>
                <w:sz w:val="21"/>
                <w:szCs w:val="21"/>
                <w:shd w:val="clear" w:color="auto" w:fill="FFFFFF"/>
              </w:rPr>
            </w:pPr>
          </w:p>
        </w:tc>
      </w:tr>
      <w:tr w:rsidR="00876255" w:rsidTr="00876255">
        <w:tc>
          <w:tcPr>
            <w:tcW w:w="1525" w:type="dxa"/>
          </w:tcPr>
          <w:p w:rsidR="00876255" w:rsidRDefault="00876255">
            <w:r>
              <w:t>Connections with CTE</w:t>
            </w:r>
          </w:p>
        </w:tc>
        <w:tc>
          <w:tcPr>
            <w:tcW w:w="4410" w:type="dxa"/>
          </w:tcPr>
          <w:p w:rsidR="00C05CA4" w:rsidRDefault="00C05CA4" w:rsidP="00C05CA4">
            <w:r>
              <w:t xml:space="preserve">   All students who graduate from a Tennessee public high school, private school, or are home schooled within the state are eligible. </w:t>
            </w:r>
          </w:p>
          <w:p w:rsidR="00876255" w:rsidRDefault="00C05CA4" w:rsidP="00C05CA4">
            <w:r>
              <w:t xml:space="preserve">   Students can attend one of the 27 (TCATs) TN Colleges of Applied Technology (non-degree granting institutions; one-stop occupation and technical training providers) or one of the 13 community colleges. The students have two years </w:t>
            </w:r>
            <w:r w:rsidR="008E0118">
              <w:t xml:space="preserve">or five consecutive semesters </w:t>
            </w:r>
            <w:r>
              <w:t>to complete a diploma or degree.</w:t>
            </w:r>
          </w:p>
          <w:p w:rsidR="00C05CA4" w:rsidRDefault="00C05CA4" w:rsidP="00C05CA4">
            <w:r>
              <w:t xml:space="preserve">   All TCAT programs are CTE and all of the A.A.S. programs at the community colleges are CTE programs. </w:t>
            </w:r>
          </w:p>
          <w:p w:rsidR="00C05CA4" w:rsidRDefault="00C05CA4" w:rsidP="00C05CA4">
            <w:r>
              <w:t xml:space="preserve">   There are currently 50 Career Pathways which begin in the secondary schools and continue through to a bachelor’s degree.</w:t>
            </w:r>
          </w:p>
          <w:p w:rsidR="00C05CA4" w:rsidRDefault="00C05CA4" w:rsidP="002A0EAE">
            <w:r>
              <w:t xml:space="preserve">   Dual Credit and Dual Enrollment are available for all secondary students </w:t>
            </w:r>
            <w:r w:rsidR="002A0EAE">
              <w:t xml:space="preserve">while </w:t>
            </w:r>
            <w:r>
              <w:t xml:space="preserve">multiple campuses are </w:t>
            </w:r>
            <w:r w:rsidR="002A0EAE">
              <w:t xml:space="preserve">participating in the dual-enrollment </w:t>
            </w:r>
            <w:r>
              <w:t xml:space="preserve">federal </w:t>
            </w:r>
            <w:r w:rsidR="002A0EAE">
              <w:t>pilot Pell program.</w:t>
            </w:r>
          </w:p>
        </w:tc>
        <w:tc>
          <w:tcPr>
            <w:tcW w:w="4855" w:type="dxa"/>
          </w:tcPr>
          <w:p w:rsidR="00876255" w:rsidRDefault="00876255">
            <w:pPr>
              <w:rPr>
                <w:rFonts w:ascii="Arial" w:hAnsi="Arial" w:cs="Arial"/>
                <w:color w:val="181818"/>
                <w:sz w:val="21"/>
                <w:szCs w:val="21"/>
                <w:shd w:val="clear" w:color="auto" w:fill="FFFFFF"/>
              </w:rPr>
            </w:pPr>
            <w:r>
              <w:rPr>
                <w:rFonts w:ascii="Arial" w:hAnsi="Arial" w:cs="Arial"/>
                <w:color w:val="181818"/>
                <w:sz w:val="21"/>
                <w:szCs w:val="21"/>
                <w:shd w:val="clear" w:color="auto" w:fill="FFFFFF"/>
              </w:rPr>
              <w:t>Students will be eligible for Oregon Promise as long as they have not already earned 90 college credits. College credits earned while a student is still enrolled in high school will be included in the student’s cumulative GPA at the community college.</w:t>
            </w:r>
          </w:p>
          <w:p w:rsidR="002F784A" w:rsidRDefault="002F784A">
            <w:pPr>
              <w:rPr>
                <w:rFonts w:ascii="Arial" w:hAnsi="Arial" w:cs="Arial"/>
                <w:color w:val="181818"/>
                <w:sz w:val="21"/>
                <w:szCs w:val="21"/>
                <w:shd w:val="clear" w:color="auto" w:fill="FFFFFF"/>
              </w:rPr>
            </w:pPr>
          </w:p>
          <w:p w:rsidR="002F784A" w:rsidRDefault="002F784A">
            <w:pPr>
              <w:rPr>
                <w:rFonts w:ascii="Arial" w:hAnsi="Arial" w:cs="Arial"/>
                <w:color w:val="181818"/>
                <w:sz w:val="21"/>
                <w:szCs w:val="21"/>
                <w:shd w:val="clear" w:color="auto" w:fill="FFFFFF"/>
              </w:rPr>
            </w:pPr>
            <w:r>
              <w:rPr>
                <w:rFonts w:ascii="Arial" w:hAnsi="Arial" w:cs="Arial"/>
                <w:color w:val="181818"/>
                <w:sz w:val="21"/>
                <w:szCs w:val="21"/>
                <w:shd w:val="clear" w:color="auto" w:fill="FFFFFF"/>
              </w:rPr>
              <w:t xml:space="preserve">The Oregon Promise is currently available to only those students who are enrolling in a community college in Oregon. Community colleges are key partners in CTE Programs of Study. </w:t>
            </w:r>
          </w:p>
          <w:p w:rsidR="002F784A" w:rsidRDefault="002F784A">
            <w:pPr>
              <w:rPr>
                <w:rFonts w:ascii="Arial" w:hAnsi="Arial" w:cs="Arial"/>
                <w:color w:val="181818"/>
                <w:sz w:val="21"/>
                <w:szCs w:val="21"/>
                <w:shd w:val="clear" w:color="auto" w:fill="FFFFFF"/>
              </w:rPr>
            </w:pPr>
          </w:p>
          <w:p w:rsidR="002F784A" w:rsidRDefault="002F784A">
            <w:pPr>
              <w:rPr>
                <w:rFonts w:ascii="Arial" w:hAnsi="Arial" w:cs="Arial"/>
                <w:color w:val="181818"/>
                <w:sz w:val="21"/>
                <w:szCs w:val="21"/>
                <w:shd w:val="clear" w:color="auto" w:fill="FFFFFF"/>
              </w:rPr>
            </w:pPr>
            <w:r>
              <w:rPr>
                <w:rFonts w:ascii="Arial" w:hAnsi="Arial" w:cs="Arial"/>
                <w:color w:val="181818"/>
                <w:sz w:val="21"/>
                <w:szCs w:val="21"/>
                <w:shd w:val="clear" w:color="auto" w:fill="FFFFFF"/>
              </w:rPr>
              <w:t xml:space="preserve">Oregon has been making investments in the area of career pathways for years- including career pathways certificates, etc. </w:t>
            </w:r>
          </w:p>
          <w:p w:rsidR="002F784A" w:rsidRDefault="002F784A">
            <w:pPr>
              <w:rPr>
                <w:rFonts w:ascii="Arial" w:hAnsi="Arial" w:cs="Arial"/>
                <w:color w:val="181818"/>
                <w:sz w:val="21"/>
                <w:szCs w:val="21"/>
                <w:shd w:val="clear" w:color="auto" w:fill="FFFFFF"/>
              </w:rPr>
            </w:pPr>
          </w:p>
          <w:p w:rsidR="002F784A" w:rsidRDefault="002F784A">
            <w:pPr>
              <w:rPr>
                <w:rFonts w:ascii="Arial" w:hAnsi="Arial" w:cs="Arial"/>
                <w:color w:val="181818"/>
                <w:sz w:val="21"/>
                <w:szCs w:val="21"/>
                <w:shd w:val="clear" w:color="auto" w:fill="FFFFFF"/>
              </w:rPr>
            </w:pPr>
            <w:r>
              <w:rPr>
                <w:rFonts w:ascii="Arial" w:hAnsi="Arial" w:cs="Arial"/>
                <w:color w:val="181818"/>
                <w:sz w:val="21"/>
                <w:szCs w:val="21"/>
                <w:shd w:val="clear" w:color="auto" w:fill="FFFFFF"/>
              </w:rPr>
              <w:t xml:space="preserve">Recently investments in career pathways in K-12 as well as investments in building stronger connections with K-12, colleges and employers only stand to make these pathways stronger for students. </w:t>
            </w:r>
          </w:p>
          <w:p w:rsidR="00876255" w:rsidRDefault="00876255">
            <w:pPr>
              <w:rPr>
                <w:rFonts w:ascii="Arial" w:hAnsi="Arial" w:cs="Arial"/>
                <w:color w:val="181818"/>
                <w:sz w:val="21"/>
                <w:szCs w:val="21"/>
                <w:shd w:val="clear" w:color="auto" w:fill="FFFFFF"/>
              </w:rPr>
            </w:pPr>
          </w:p>
          <w:p w:rsidR="002F784A" w:rsidRDefault="002F784A">
            <w:pPr>
              <w:rPr>
                <w:rFonts w:ascii="Arial" w:hAnsi="Arial" w:cs="Arial"/>
                <w:color w:val="181818"/>
                <w:sz w:val="21"/>
                <w:szCs w:val="21"/>
                <w:shd w:val="clear" w:color="auto" w:fill="FFFFFF"/>
              </w:rPr>
            </w:pPr>
            <w:r>
              <w:rPr>
                <w:rFonts w:ascii="Arial" w:hAnsi="Arial" w:cs="Arial"/>
                <w:color w:val="181818"/>
                <w:sz w:val="21"/>
                <w:szCs w:val="21"/>
                <w:shd w:val="clear" w:color="auto" w:fill="FFFFFF"/>
              </w:rPr>
              <w:t xml:space="preserve">Additional investments in students supports for these students have also been identified and allocated. </w:t>
            </w:r>
          </w:p>
          <w:p w:rsidR="00876255" w:rsidRDefault="00876255">
            <w:pPr>
              <w:rPr>
                <w:rFonts w:ascii="Arial" w:hAnsi="Arial" w:cs="Arial"/>
                <w:color w:val="181818"/>
                <w:sz w:val="21"/>
                <w:szCs w:val="21"/>
                <w:shd w:val="clear" w:color="auto" w:fill="FFFFFF"/>
              </w:rPr>
            </w:pPr>
          </w:p>
          <w:p w:rsidR="00876255" w:rsidRDefault="00876255"/>
        </w:tc>
      </w:tr>
      <w:tr w:rsidR="00876255" w:rsidTr="00876255">
        <w:tc>
          <w:tcPr>
            <w:tcW w:w="1525" w:type="dxa"/>
          </w:tcPr>
          <w:p w:rsidR="00876255" w:rsidRDefault="002F784A">
            <w:r>
              <w:lastRenderedPageBreak/>
              <w:t>Measurement</w:t>
            </w:r>
          </w:p>
        </w:tc>
        <w:tc>
          <w:tcPr>
            <w:tcW w:w="4410" w:type="dxa"/>
          </w:tcPr>
          <w:p w:rsidR="008E0118" w:rsidRPr="008E0118" w:rsidRDefault="008E0118" w:rsidP="008E0118">
            <w:r>
              <w:t>Four</w:t>
            </w:r>
            <w:r w:rsidRPr="008E0118">
              <w:t xml:space="preserve"> annual requirements a student must complete in order to remain eligible:</w:t>
            </w:r>
          </w:p>
          <w:p w:rsidR="008E0118" w:rsidRPr="008E0118" w:rsidRDefault="008E0118" w:rsidP="008E0118">
            <w:pPr>
              <w:numPr>
                <w:ilvl w:val="0"/>
                <w:numId w:val="4"/>
              </w:numPr>
              <w:ind w:left="300"/>
            </w:pPr>
            <w:r w:rsidRPr="008E0118">
              <w:t>Enroll in and complete 12 credit hours each semester</w:t>
            </w:r>
          </w:p>
          <w:p w:rsidR="008E0118" w:rsidRPr="008E0118" w:rsidRDefault="008E0118" w:rsidP="008E0118">
            <w:pPr>
              <w:numPr>
                <w:ilvl w:val="0"/>
                <w:numId w:val="4"/>
              </w:numPr>
              <w:ind w:left="300"/>
            </w:pPr>
            <w:r w:rsidRPr="008E0118">
              <w:t>Maintain the institution’s satisfactory GPA</w:t>
            </w:r>
          </w:p>
          <w:p w:rsidR="008E0118" w:rsidRPr="008E0118" w:rsidRDefault="008E0118" w:rsidP="008E0118">
            <w:pPr>
              <w:numPr>
                <w:ilvl w:val="0"/>
                <w:numId w:val="4"/>
              </w:numPr>
              <w:ind w:left="300"/>
            </w:pPr>
            <w:r w:rsidRPr="008E0118">
              <w:t>Complete and submit 8 hours of community service each semester</w:t>
            </w:r>
          </w:p>
          <w:p w:rsidR="00876255" w:rsidRDefault="008E0118" w:rsidP="008E0118">
            <w:pPr>
              <w:numPr>
                <w:ilvl w:val="0"/>
                <w:numId w:val="4"/>
              </w:numPr>
              <w:ind w:left="300"/>
            </w:pPr>
            <w:r w:rsidRPr="008E0118">
              <w:t>Complete the FAFSA each year by Feb 15</w:t>
            </w:r>
          </w:p>
          <w:p w:rsidR="008E0118" w:rsidRDefault="008E0118" w:rsidP="008E0118"/>
          <w:p w:rsidR="00C02090" w:rsidRDefault="008E0118" w:rsidP="008E0118">
            <w:r>
              <w:t>The Drive to 55 metric</w:t>
            </w:r>
            <w:r w:rsidR="00C02090">
              <w:t>s primarily are retention and completion;</w:t>
            </w:r>
          </w:p>
          <w:p w:rsidR="00C02090" w:rsidRDefault="00C02090" w:rsidP="008E0118">
            <w:r>
              <w:t>Fall ’15-16</w:t>
            </w:r>
            <w:r w:rsidRPr="00C02090">
              <w:t> </w:t>
            </w:r>
            <w:r>
              <w:t xml:space="preserve">there was </w:t>
            </w:r>
            <w:r w:rsidRPr="00C02090">
              <w:t>a 24.7</w:t>
            </w:r>
            <w:r>
              <w:t xml:space="preserve">% </w:t>
            </w:r>
            <w:r w:rsidRPr="00C02090">
              <w:t>enrollment increase</w:t>
            </w:r>
            <w:r>
              <w:t>;</w:t>
            </w:r>
          </w:p>
          <w:p w:rsidR="008E0118" w:rsidRDefault="008E0118" w:rsidP="008E0118">
            <w:r>
              <w:t>6% more students are currently full time</w:t>
            </w:r>
            <w:r w:rsidR="00C02090">
              <w:t>;</w:t>
            </w:r>
          </w:p>
          <w:p w:rsidR="00C02090" w:rsidRDefault="00C02090" w:rsidP="008E0118">
            <w:r>
              <w:t>Fall to spring r</w:t>
            </w:r>
            <w:r w:rsidRPr="00C02090">
              <w:t>etention rate of 80.6 percent for the 16,291 students</w:t>
            </w:r>
          </w:p>
          <w:p w:rsidR="00C02090" w:rsidRDefault="00C02090" w:rsidP="00C02090">
            <w:r>
              <w:t xml:space="preserve">TN Promise </w:t>
            </w:r>
            <w:r w:rsidR="001117A8">
              <w:t>sts</w:t>
            </w:r>
            <w:bookmarkStart w:id="0" w:name="_GoBack"/>
            <w:bookmarkEnd w:id="0"/>
            <w:r>
              <w:t xml:space="preserve"> have a </w:t>
            </w:r>
            <w:r w:rsidR="001117A8">
              <w:t xml:space="preserve">slightly </w:t>
            </w:r>
            <w:r>
              <w:t>higher GPA</w:t>
            </w:r>
          </w:p>
          <w:p w:rsidR="00C02090" w:rsidRDefault="00C02090" w:rsidP="00C02090">
            <w:r>
              <w:t>FAFSA completion rate of 61%</w:t>
            </w:r>
          </w:p>
        </w:tc>
        <w:tc>
          <w:tcPr>
            <w:tcW w:w="4855" w:type="dxa"/>
          </w:tcPr>
          <w:p w:rsidR="00876255" w:rsidRDefault="002F784A">
            <w:r>
              <w:t>Senate Bill 81 directs the Higher Education Coordinating Commission to report to the 2017 Legislature on success of many aspects of the Oregon Promise program. At that date, the first cohort of students will have only been attending college for a few months, but we will be able to report on metrics such as participation, initial costs, and student grades-to-date. Other metrics, required in the bill, will be reported when data is available.</w:t>
            </w:r>
          </w:p>
          <w:p w:rsidR="002F784A" w:rsidRDefault="002F784A"/>
          <w:p w:rsidR="002F784A" w:rsidRDefault="002F784A">
            <w:r>
              <w:t>Other metrics:</w:t>
            </w:r>
          </w:p>
          <w:p w:rsidR="002F784A" w:rsidRDefault="002F784A"/>
          <w:p w:rsidR="002F784A" w:rsidRDefault="002F784A" w:rsidP="002F784A">
            <w:pPr>
              <w:pStyle w:val="ListParagraph"/>
              <w:numPr>
                <w:ilvl w:val="0"/>
                <w:numId w:val="3"/>
              </w:numPr>
            </w:pPr>
            <w:r>
              <w:t>Student completion rates of curricula, degrees and programs</w:t>
            </w:r>
          </w:p>
          <w:p w:rsidR="002F784A" w:rsidRDefault="002F784A" w:rsidP="002F784A">
            <w:pPr>
              <w:pStyle w:val="ListParagraph"/>
              <w:numPr>
                <w:ilvl w:val="0"/>
                <w:numId w:val="3"/>
              </w:numPr>
            </w:pPr>
            <w:r>
              <w:t xml:space="preserve">The amount of federal aid grants received by persons who received a grant under this section; </w:t>
            </w:r>
          </w:p>
          <w:p w:rsidR="002F784A" w:rsidRDefault="002F784A" w:rsidP="002F784A">
            <w:pPr>
              <w:pStyle w:val="ListParagraph"/>
              <w:numPr>
                <w:ilvl w:val="0"/>
                <w:numId w:val="3"/>
              </w:numPr>
            </w:pPr>
            <w:r>
              <w:t xml:space="preserve">financial impact of the program on school districts that had students receive a grant under this section; </w:t>
            </w:r>
          </w:p>
          <w:p w:rsidR="002F784A" w:rsidRDefault="002F784A" w:rsidP="002F784A">
            <w:pPr>
              <w:pStyle w:val="ListParagraph"/>
              <w:numPr>
                <w:ilvl w:val="0"/>
                <w:numId w:val="3"/>
              </w:numPr>
            </w:pPr>
            <w:r>
              <w:t xml:space="preserve">The financial impact and the enrollment impact of the program on institutions. </w:t>
            </w:r>
          </w:p>
          <w:p w:rsidR="002F784A" w:rsidRDefault="002F784A" w:rsidP="002F784A">
            <w:pPr>
              <w:pStyle w:val="ListParagraph"/>
              <w:numPr>
                <w:ilvl w:val="0"/>
                <w:numId w:val="3"/>
              </w:numPr>
            </w:pPr>
            <w:r>
              <w:t>(e) The overall success rate of the program and financial impact of the program.</w:t>
            </w:r>
          </w:p>
        </w:tc>
      </w:tr>
      <w:tr w:rsidR="00876255" w:rsidTr="00876255">
        <w:tc>
          <w:tcPr>
            <w:tcW w:w="1525" w:type="dxa"/>
          </w:tcPr>
          <w:p w:rsidR="00876255" w:rsidRDefault="00FF6238">
            <w:r>
              <w:t>Going Forward/ Lessons Learned</w:t>
            </w:r>
          </w:p>
        </w:tc>
        <w:tc>
          <w:tcPr>
            <w:tcW w:w="4410" w:type="dxa"/>
          </w:tcPr>
          <w:p w:rsidR="00C02090" w:rsidRDefault="00C02090" w:rsidP="00C02090">
            <w:r w:rsidRPr="00C02090">
              <w:t xml:space="preserve">59,635 </w:t>
            </w:r>
            <w:r>
              <w:t xml:space="preserve">students </w:t>
            </w:r>
            <w:r w:rsidRPr="00C02090">
              <w:t>have applied for ‘16-17</w:t>
            </w:r>
          </w:p>
          <w:p w:rsidR="00876255" w:rsidRDefault="00876255"/>
        </w:tc>
        <w:tc>
          <w:tcPr>
            <w:tcW w:w="4855" w:type="dxa"/>
          </w:tcPr>
          <w:p w:rsidR="00876255" w:rsidRDefault="00FF6238">
            <w:r>
              <w:t xml:space="preserve">There has been some interest in the effects on fall to fall retention. </w:t>
            </w:r>
          </w:p>
          <w:p w:rsidR="00FF6238" w:rsidRDefault="00FF6238"/>
          <w:p w:rsidR="00FF6238" w:rsidRDefault="00FF6238">
            <w:r>
              <w:t xml:space="preserve">Are there effects on GPA? </w:t>
            </w:r>
          </w:p>
          <w:p w:rsidR="00FF6238" w:rsidRDefault="00FF6238"/>
          <w:p w:rsidR="00FF6238" w:rsidRDefault="00FF6238">
            <w:r>
              <w:t xml:space="preserve">Some concerns about the continuation of funding and whether a one-time appropriation. </w:t>
            </w:r>
          </w:p>
        </w:tc>
      </w:tr>
      <w:tr w:rsidR="00876255" w:rsidTr="00876255">
        <w:tc>
          <w:tcPr>
            <w:tcW w:w="1525" w:type="dxa"/>
          </w:tcPr>
          <w:p w:rsidR="00876255" w:rsidRDefault="00876255"/>
        </w:tc>
        <w:tc>
          <w:tcPr>
            <w:tcW w:w="4410" w:type="dxa"/>
          </w:tcPr>
          <w:p w:rsidR="00876255" w:rsidRDefault="00876255"/>
        </w:tc>
        <w:tc>
          <w:tcPr>
            <w:tcW w:w="4855" w:type="dxa"/>
          </w:tcPr>
          <w:p w:rsidR="00876255" w:rsidRDefault="00876255"/>
        </w:tc>
      </w:tr>
    </w:tbl>
    <w:p w:rsidR="003342BA" w:rsidRDefault="003342BA"/>
    <w:sectPr w:rsidR="003342BA" w:rsidSect="00876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1572"/>
    <w:multiLevelType w:val="multilevel"/>
    <w:tmpl w:val="BF78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A215A"/>
    <w:multiLevelType w:val="multilevel"/>
    <w:tmpl w:val="6256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B46B8A"/>
    <w:multiLevelType w:val="hybridMultilevel"/>
    <w:tmpl w:val="DA1C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07F38"/>
    <w:multiLevelType w:val="multilevel"/>
    <w:tmpl w:val="BBA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55"/>
    <w:rsid w:val="001117A8"/>
    <w:rsid w:val="002A0EAE"/>
    <w:rsid w:val="002F784A"/>
    <w:rsid w:val="003342BA"/>
    <w:rsid w:val="00876255"/>
    <w:rsid w:val="008E0118"/>
    <w:rsid w:val="00C02090"/>
    <w:rsid w:val="00C05CA4"/>
    <w:rsid w:val="00CD2197"/>
    <w:rsid w:val="00FF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AF074-1A42-4D56-87AC-284F460F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6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6255"/>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2F784A"/>
    <w:pPr>
      <w:ind w:left="720"/>
      <w:contextualSpacing/>
    </w:pPr>
  </w:style>
  <w:style w:type="paragraph" w:styleId="NormalWeb">
    <w:name w:val="Normal (Web)"/>
    <w:basedOn w:val="Normal"/>
    <w:uiPriority w:val="99"/>
    <w:semiHidden/>
    <w:unhideWhenUsed/>
    <w:rsid w:val="008E01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E0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811239">
      <w:bodyDiv w:val="1"/>
      <w:marLeft w:val="0"/>
      <w:marRight w:val="0"/>
      <w:marTop w:val="0"/>
      <w:marBottom w:val="0"/>
      <w:divBdr>
        <w:top w:val="none" w:sz="0" w:space="0" w:color="auto"/>
        <w:left w:val="none" w:sz="0" w:space="0" w:color="auto"/>
        <w:bottom w:val="none" w:sz="0" w:space="0" w:color="auto"/>
        <w:right w:val="none" w:sz="0" w:space="0" w:color="auto"/>
      </w:divBdr>
    </w:div>
    <w:div w:id="985823030">
      <w:bodyDiv w:val="1"/>
      <w:marLeft w:val="0"/>
      <w:marRight w:val="0"/>
      <w:marTop w:val="0"/>
      <w:marBottom w:val="0"/>
      <w:divBdr>
        <w:top w:val="none" w:sz="0" w:space="0" w:color="auto"/>
        <w:left w:val="none" w:sz="0" w:space="0" w:color="auto"/>
        <w:bottom w:val="none" w:sz="0" w:space="0" w:color="auto"/>
        <w:right w:val="none" w:sz="0" w:space="0" w:color="auto"/>
      </w:divBdr>
    </w:div>
    <w:div w:id="1096054429">
      <w:bodyDiv w:val="1"/>
      <w:marLeft w:val="0"/>
      <w:marRight w:val="0"/>
      <w:marTop w:val="0"/>
      <w:marBottom w:val="0"/>
      <w:divBdr>
        <w:top w:val="none" w:sz="0" w:space="0" w:color="auto"/>
        <w:left w:val="none" w:sz="0" w:space="0" w:color="auto"/>
        <w:bottom w:val="none" w:sz="0" w:space="0" w:color="auto"/>
        <w:right w:val="none" w:sz="0" w:space="0" w:color="auto"/>
      </w:divBdr>
      <w:divsChild>
        <w:div w:id="1375500239">
          <w:marLeft w:val="300"/>
          <w:marRight w:val="0"/>
          <w:marTop w:val="0"/>
          <w:marBottom w:val="300"/>
          <w:divBdr>
            <w:top w:val="single" w:sz="12" w:space="0" w:color="DFDFDF"/>
            <w:left w:val="single" w:sz="12" w:space="0" w:color="DFDFDF"/>
            <w:bottom w:val="single" w:sz="12" w:space="11" w:color="DFDFDF"/>
            <w:right w:val="single" w:sz="12" w:space="0" w:color="DFDFDF"/>
          </w:divBdr>
        </w:div>
      </w:divsChild>
    </w:div>
    <w:div w:id="1236168136">
      <w:bodyDiv w:val="1"/>
      <w:marLeft w:val="0"/>
      <w:marRight w:val="0"/>
      <w:marTop w:val="0"/>
      <w:marBottom w:val="0"/>
      <w:divBdr>
        <w:top w:val="none" w:sz="0" w:space="0" w:color="auto"/>
        <w:left w:val="none" w:sz="0" w:space="0" w:color="auto"/>
        <w:bottom w:val="none" w:sz="0" w:space="0" w:color="auto"/>
        <w:right w:val="none" w:sz="0" w:space="0" w:color="auto"/>
      </w:divBdr>
    </w:div>
    <w:div w:id="15701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Higher Education Coordinating Commission</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LEWELLING Donna</dc:creator>
  <cp:keywords/>
  <dc:description/>
  <cp:lastModifiedBy>Michael Tinsley</cp:lastModifiedBy>
  <cp:revision>4</cp:revision>
  <dcterms:created xsi:type="dcterms:W3CDTF">2016-05-19T20:04:00Z</dcterms:created>
  <dcterms:modified xsi:type="dcterms:W3CDTF">2016-05-19T20:27:00Z</dcterms:modified>
</cp:coreProperties>
</file>