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FDCB" w14:textId="77777777" w:rsidR="005E6AAD" w:rsidRDefault="005E6AAD" w:rsidP="00AE7991">
      <w:pPr>
        <w:pStyle w:val="Heading2"/>
        <w:spacing w:before="0" w:line="240" w:lineRule="auto"/>
        <w:rPr>
          <w:b/>
        </w:rPr>
      </w:pPr>
      <w:bookmarkStart w:id="0" w:name="_GoBack"/>
      <w:bookmarkEnd w:id="0"/>
      <w:r>
        <w:rPr>
          <w:b/>
        </w:rPr>
        <w:t>Introduction</w:t>
      </w:r>
    </w:p>
    <w:p w14:paraId="43CB333B" w14:textId="6E5B8750" w:rsidR="005E6AAD" w:rsidRDefault="00B139A3" w:rsidP="00AE7991">
      <w:pPr>
        <w:spacing w:after="0" w:line="240" w:lineRule="auto"/>
      </w:pPr>
      <w:r>
        <w:t>As states begin the extensive and inclusive process of developing their state plan for t</w:t>
      </w:r>
      <w:r w:rsidRPr="00667E61">
        <w:rPr>
          <w:rFonts w:cstheme="minorHAnsi"/>
          <w:szCs w:val="21"/>
        </w:rPr>
        <w:t>he Strengthening Career and Technical Education for the 21</w:t>
      </w:r>
      <w:r w:rsidRPr="00762018">
        <w:rPr>
          <w:rFonts w:cstheme="minorHAnsi"/>
          <w:szCs w:val="21"/>
        </w:rPr>
        <w:t>st</w:t>
      </w:r>
      <w:r w:rsidRPr="00667E61">
        <w:rPr>
          <w:rFonts w:cstheme="minorHAnsi"/>
          <w:szCs w:val="21"/>
        </w:rPr>
        <w:t xml:space="preserve"> Century Act (Perkins V</w:t>
      </w:r>
      <w:r>
        <w:rPr>
          <w:rFonts w:cstheme="minorHAnsi"/>
          <w:szCs w:val="21"/>
        </w:rPr>
        <w:t xml:space="preserve">), they face many critical decisions and choices. </w:t>
      </w:r>
      <w:r w:rsidR="005E6AAD">
        <w:t>Some of these decisions are f</w:t>
      </w:r>
      <w:r>
        <w:t>or the eligible agency to make</w:t>
      </w:r>
      <w:r w:rsidR="00603074">
        <w:t xml:space="preserve"> on the front end</w:t>
      </w:r>
      <w:r>
        <w:t xml:space="preserve">. Many </w:t>
      </w:r>
      <w:r w:rsidR="005E6AAD">
        <w:t xml:space="preserve">others require and merit consultation </w:t>
      </w:r>
      <w:r>
        <w:t xml:space="preserve">with other state-level agencies and partners. And finally, </w:t>
      </w:r>
      <w:r w:rsidR="00A21970">
        <w:t>most</w:t>
      </w:r>
      <w:r>
        <w:t xml:space="preserve"> decisions will benefit from </w:t>
      </w:r>
      <w:r w:rsidR="003F77FC">
        <w:t xml:space="preserve">the </w:t>
      </w:r>
      <w:r>
        <w:t xml:space="preserve">input </w:t>
      </w:r>
      <w:r w:rsidR="003F77FC">
        <w:t xml:space="preserve">of </w:t>
      </w:r>
      <w:r>
        <w:t xml:space="preserve">diverse stakeholders. </w:t>
      </w:r>
    </w:p>
    <w:p w14:paraId="65793A25" w14:textId="77777777" w:rsidR="00B139A3" w:rsidRDefault="00B139A3" w:rsidP="00AE7991">
      <w:pPr>
        <w:spacing w:after="0" w:line="240" w:lineRule="auto"/>
      </w:pPr>
    </w:p>
    <w:p w14:paraId="76B883DE" w14:textId="764FF3E9" w:rsidR="005E6AAD" w:rsidRDefault="00B139A3" w:rsidP="00AE7991">
      <w:pPr>
        <w:spacing w:after="0" w:line="240" w:lineRule="auto"/>
      </w:pPr>
      <w:r>
        <w:t>Regardless of how the final decisions are made, they all</w:t>
      </w:r>
      <w:r w:rsidR="005E6AAD">
        <w:t xml:space="preserve"> should be anchored in a bold and forward-looking statewide vision for </w:t>
      </w:r>
      <w:r>
        <w:t>Career Technical Education (</w:t>
      </w:r>
      <w:r w:rsidR="005E6AAD">
        <w:t>CTE</w:t>
      </w:r>
      <w:r>
        <w:t>)</w:t>
      </w:r>
      <w:r w:rsidR="0027530D">
        <w:t xml:space="preserve"> that is </w:t>
      </w:r>
      <w:r w:rsidR="00A21970">
        <w:t xml:space="preserve">focused on expanding access to and success </w:t>
      </w:r>
      <w:r w:rsidR="003F77FC">
        <w:t xml:space="preserve">in </w:t>
      </w:r>
      <w:r w:rsidR="00A21970">
        <w:t>high-</w:t>
      </w:r>
      <w:r w:rsidR="005E6AAD">
        <w:t xml:space="preserve">quality </w:t>
      </w:r>
      <w:r w:rsidR="00A21970">
        <w:t xml:space="preserve">CTE programs for </w:t>
      </w:r>
      <w:r w:rsidR="00674D89">
        <w:t xml:space="preserve">every </w:t>
      </w:r>
      <w:r w:rsidR="00A21970">
        <w:t>learner</w:t>
      </w:r>
      <w:r w:rsidR="005E6AAD">
        <w:t>.</w:t>
      </w:r>
    </w:p>
    <w:p w14:paraId="1FA7C11B" w14:textId="77777777" w:rsidR="005E6AAD" w:rsidRDefault="005E6AAD" w:rsidP="00AE7991">
      <w:pPr>
        <w:spacing w:after="0" w:line="240" w:lineRule="auto"/>
      </w:pPr>
    </w:p>
    <w:p w14:paraId="01A7DA31" w14:textId="744D2362" w:rsidR="005E6AAD" w:rsidRDefault="005E6AAD" w:rsidP="00AE7991">
      <w:pPr>
        <w:spacing w:after="0" w:line="240" w:lineRule="auto"/>
      </w:pPr>
      <w:r>
        <w:t xml:space="preserve">This tool aims to help state leaders to think through where their system is working and where it needs to be pushed </w:t>
      </w:r>
      <w:r w:rsidR="0027530D">
        <w:t xml:space="preserve">— </w:t>
      </w:r>
      <w:r>
        <w:t xml:space="preserve">and how Perkins V can help drive the changes necessary to achieve a statewide </w:t>
      </w:r>
      <w:r w:rsidR="00674D89">
        <w:t xml:space="preserve">strategic </w:t>
      </w:r>
      <w:r>
        <w:t>vision for CTE.</w:t>
      </w:r>
    </w:p>
    <w:p w14:paraId="1F6A31D1" w14:textId="77777777" w:rsidR="005E6AAD" w:rsidRDefault="005E6AAD" w:rsidP="00AE7991">
      <w:pPr>
        <w:spacing w:after="0" w:line="240" w:lineRule="auto"/>
      </w:pPr>
    </w:p>
    <w:p w14:paraId="4805D241" w14:textId="4E535C9D" w:rsidR="005E6AAD" w:rsidRPr="00BD1EFF" w:rsidRDefault="005E6AAD" w:rsidP="00AE7991">
      <w:pPr>
        <w:pBdr>
          <w:top w:val="single" w:sz="12" w:space="1" w:color="7AB800"/>
          <w:left w:val="single" w:sz="12" w:space="4" w:color="7AB800"/>
          <w:bottom w:val="single" w:sz="12" w:space="13" w:color="7AB800"/>
          <w:right w:val="single" w:sz="12" w:space="4" w:color="7AB800"/>
        </w:pBdr>
        <w:spacing w:after="0" w:line="240" w:lineRule="auto"/>
        <w:rPr>
          <w:b/>
        </w:rPr>
      </w:pPr>
      <w:r w:rsidRPr="00BD1EFF">
        <w:rPr>
          <w:b/>
        </w:rPr>
        <w:t xml:space="preserve">How to </w:t>
      </w:r>
      <w:r w:rsidR="00780550">
        <w:rPr>
          <w:b/>
        </w:rPr>
        <w:t>U</w:t>
      </w:r>
      <w:r w:rsidRPr="00BD1EFF">
        <w:rPr>
          <w:b/>
        </w:rPr>
        <w:t xml:space="preserve">se </w:t>
      </w:r>
      <w:r w:rsidR="0027530D">
        <w:rPr>
          <w:b/>
        </w:rPr>
        <w:t>T</w:t>
      </w:r>
      <w:r w:rsidR="0027530D" w:rsidRPr="00BD1EFF">
        <w:rPr>
          <w:b/>
        </w:rPr>
        <w:t xml:space="preserve">his </w:t>
      </w:r>
      <w:r w:rsidRPr="00BD1EFF">
        <w:rPr>
          <w:b/>
        </w:rPr>
        <w:t>Resource</w:t>
      </w:r>
    </w:p>
    <w:p w14:paraId="225FD6DA" w14:textId="0C82F95C" w:rsidR="005E6AAD" w:rsidRDefault="005E6AAD" w:rsidP="00AE7991">
      <w:pPr>
        <w:pBdr>
          <w:top w:val="single" w:sz="12" w:space="1" w:color="7AB800"/>
          <w:left w:val="single" w:sz="12" w:space="4" w:color="7AB800"/>
          <w:bottom w:val="single" w:sz="12" w:space="13" w:color="7AB800"/>
          <w:right w:val="single" w:sz="12" w:space="4" w:color="7AB800"/>
        </w:pBdr>
        <w:spacing w:after="0" w:line="240" w:lineRule="auto"/>
      </w:pPr>
      <w:r>
        <w:t xml:space="preserve">This tool is </w:t>
      </w:r>
      <w:r w:rsidR="00780550">
        <w:t xml:space="preserve">designed to be used flexibly </w:t>
      </w:r>
      <w:r w:rsidR="0027530D">
        <w:t xml:space="preserve">— </w:t>
      </w:r>
      <w:r w:rsidR="00780550">
        <w:t>it may be completed sequentially but will likely r</w:t>
      </w:r>
      <w:r>
        <w:t>equire circling back to various sections as more information is made available and as state partners and stakeholders weigh in</w:t>
      </w:r>
      <w:r w:rsidR="00B139A3">
        <w:t xml:space="preserve"> on key aspects of the state’s CTE system and Perkins V state plan. </w:t>
      </w:r>
    </w:p>
    <w:p w14:paraId="51C23313" w14:textId="77777777" w:rsidR="005E6AAD" w:rsidRDefault="005E6AAD" w:rsidP="00AE7991">
      <w:pPr>
        <w:pBdr>
          <w:top w:val="single" w:sz="12" w:space="1" w:color="7AB800"/>
          <w:left w:val="single" w:sz="12" w:space="4" w:color="7AB800"/>
          <w:bottom w:val="single" w:sz="12" w:space="13" w:color="7AB800"/>
          <w:right w:val="single" w:sz="12" w:space="4" w:color="7AB800"/>
        </w:pBdr>
        <w:spacing w:after="0" w:line="240" w:lineRule="auto"/>
      </w:pPr>
    </w:p>
    <w:p w14:paraId="222E3D7D" w14:textId="2F67C4A4" w:rsidR="00780550" w:rsidRPr="00780550" w:rsidRDefault="005E6AAD" w:rsidP="00AE7991">
      <w:pPr>
        <w:pBdr>
          <w:top w:val="single" w:sz="12" w:space="1" w:color="7AB800"/>
          <w:left w:val="single" w:sz="12" w:space="4" w:color="7AB800"/>
          <w:bottom w:val="single" w:sz="12" w:space="13" w:color="7AB800"/>
          <w:right w:val="single" w:sz="12" w:space="4" w:color="7AB800"/>
        </w:pBdr>
        <w:spacing w:after="240" w:line="240" w:lineRule="auto"/>
        <w:rPr>
          <w:i/>
        </w:rPr>
      </w:pPr>
      <w:r w:rsidRPr="00780550">
        <w:rPr>
          <w:i/>
          <w:u w:val="single"/>
        </w:rPr>
        <w:t>Section 1:</w:t>
      </w:r>
      <w:r w:rsidR="00780550" w:rsidRPr="00780550">
        <w:rPr>
          <w:i/>
          <w:u w:val="single"/>
        </w:rPr>
        <w:t xml:space="preserve"> Reflect on Your State’s Vision for CTE</w:t>
      </w:r>
      <w:r w:rsidR="00780550" w:rsidRPr="00762018">
        <w:rPr>
          <w:i/>
          <w:u w:val="single"/>
        </w:rPr>
        <w:t>:</w:t>
      </w:r>
      <w:r w:rsidR="00780550">
        <w:t xml:space="preserve"> </w:t>
      </w:r>
      <w:r w:rsidR="00B43F4C">
        <w:rPr>
          <w:i/>
        </w:rPr>
        <w:t xml:space="preserve">You should start </w:t>
      </w:r>
      <w:r w:rsidR="00780550">
        <w:rPr>
          <w:i/>
        </w:rPr>
        <w:t xml:space="preserve">by identifying current state-level visions, goals, strategic priorities or initiatives that </w:t>
      </w:r>
      <w:r w:rsidR="00674D89">
        <w:rPr>
          <w:i/>
        </w:rPr>
        <w:t xml:space="preserve">may align with or may influence or </w:t>
      </w:r>
      <w:r w:rsidR="0027530D">
        <w:rPr>
          <w:i/>
        </w:rPr>
        <w:t xml:space="preserve">affect </w:t>
      </w:r>
      <w:r w:rsidR="00780550">
        <w:rPr>
          <w:i/>
        </w:rPr>
        <w:t xml:space="preserve">CTE in your state and </w:t>
      </w:r>
      <w:r w:rsidR="00DD7B42">
        <w:rPr>
          <w:i/>
        </w:rPr>
        <w:t xml:space="preserve">that </w:t>
      </w:r>
      <w:r w:rsidR="00780550">
        <w:rPr>
          <w:i/>
        </w:rPr>
        <w:t>should inform</w:t>
      </w:r>
      <w:r w:rsidR="00AF4A3E">
        <w:rPr>
          <w:i/>
        </w:rPr>
        <w:t xml:space="preserve"> or connect to</w:t>
      </w:r>
      <w:r w:rsidR="00780550">
        <w:rPr>
          <w:i/>
        </w:rPr>
        <w:t xml:space="preserve"> your Perkins V planning</w:t>
      </w:r>
      <w:r w:rsidR="00A21970">
        <w:rPr>
          <w:i/>
        </w:rPr>
        <w:t>.</w:t>
      </w:r>
    </w:p>
    <w:p w14:paraId="62F9B93A" w14:textId="5D310A93" w:rsidR="005E6AAD" w:rsidRPr="00FA60E8" w:rsidRDefault="005E6AAD" w:rsidP="00AE7991">
      <w:pPr>
        <w:pBdr>
          <w:top w:val="single" w:sz="12" w:space="1" w:color="7AB800"/>
          <w:left w:val="single" w:sz="12" w:space="4" w:color="7AB800"/>
          <w:bottom w:val="single" w:sz="12" w:space="13" w:color="7AB800"/>
          <w:right w:val="single" w:sz="12" w:space="4" w:color="7AB800"/>
        </w:pBdr>
        <w:spacing w:after="240" w:line="240" w:lineRule="auto"/>
        <w:rPr>
          <w:i/>
        </w:rPr>
      </w:pPr>
      <w:r w:rsidRPr="00A21970">
        <w:rPr>
          <w:i/>
          <w:u w:val="single"/>
        </w:rPr>
        <w:t>Section 2:</w:t>
      </w:r>
      <w:r w:rsidR="00780550" w:rsidRPr="00A21970">
        <w:rPr>
          <w:i/>
          <w:u w:val="single"/>
        </w:rPr>
        <w:t xml:space="preserve"> </w:t>
      </w:r>
      <w:r w:rsidR="00A21970" w:rsidRPr="00A21970">
        <w:rPr>
          <w:i/>
          <w:u w:val="single"/>
        </w:rPr>
        <w:t>Take Stock of</w:t>
      </w:r>
      <w:r w:rsidR="00780550" w:rsidRPr="00A21970">
        <w:rPr>
          <w:i/>
          <w:u w:val="single"/>
        </w:rPr>
        <w:t xml:space="preserve"> Your State’s CTE System</w:t>
      </w:r>
      <w:r w:rsidR="00B43F4C" w:rsidRPr="00A57196">
        <w:rPr>
          <w:i/>
          <w:u w:val="single"/>
        </w:rPr>
        <w:t>:</w:t>
      </w:r>
      <w:r w:rsidR="00780550" w:rsidRPr="00A21970">
        <w:t xml:space="preserve"> </w:t>
      </w:r>
      <w:r w:rsidR="00F11ED7" w:rsidRPr="00A21970">
        <w:rPr>
          <w:i/>
        </w:rPr>
        <w:t xml:space="preserve">The Perkins V plan should not simply be a repeat of the current plan but one that builds on </w:t>
      </w:r>
      <w:r w:rsidR="0027530D" w:rsidRPr="00A21970">
        <w:rPr>
          <w:i/>
        </w:rPr>
        <w:t>what</w:t>
      </w:r>
      <w:r w:rsidR="0027530D">
        <w:rPr>
          <w:i/>
        </w:rPr>
        <w:t xml:space="preserve"> i</w:t>
      </w:r>
      <w:r w:rsidR="0027530D" w:rsidRPr="00A21970">
        <w:rPr>
          <w:i/>
        </w:rPr>
        <w:t xml:space="preserve">s </w:t>
      </w:r>
      <w:r w:rsidR="00F11ED7" w:rsidRPr="00A21970">
        <w:rPr>
          <w:i/>
        </w:rPr>
        <w:t xml:space="preserve">working and addresses what </w:t>
      </w:r>
      <w:r w:rsidR="0027530D" w:rsidRPr="00A21970">
        <w:rPr>
          <w:i/>
        </w:rPr>
        <w:t>is</w:t>
      </w:r>
      <w:r w:rsidR="0027530D">
        <w:rPr>
          <w:i/>
        </w:rPr>
        <w:t xml:space="preserve"> not</w:t>
      </w:r>
      <w:r w:rsidR="0027530D" w:rsidRPr="00A21970">
        <w:rPr>
          <w:i/>
        </w:rPr>
        <w:t xml:space="preserve"> </w:t>
      </w:r>
      <w:r w:rsidR="00F11ED7" w:rsidRPr="00A21970">
        <w:rPr>
          <w:i/>
        </w:rPr>
        <w:t>working. The planning process is an ideal time to take stock of current efforts and identify areas for improvement.</w:t>
      </w:r>
      <w:r w:rsidR="00F11ED7" w:rsidRPr="00A21970">
        <w:t xml:space="preserve"> </w:t>
      </w:r>
      <w:r w:rsidR="00F11ED7" w:rsidRPr="00A21970">
        <w:rPr>
          <w:i/>
        </w:rPr>
        <w:t xml:space="preserve">This section can be </w:t>
      </w:r>
      <w:r w:rsidR="00AD21D6" w:rsidRPr="00A21970">
        <w:rPr>
          <w:i/>
        </w:rPr>
        <w:t>completed</w:t>
      </w:r>
      <w:r w:rsidR="00F11ED7" w:rsidRPr="00A21970">
        <w:rPr>
          <w:i/>
        </w:rPr>
        <w:t xml:space="preserve"> </w:t>
      </w:r>
      <w:r w:rsidR="00F11ED7" w:rsidRPr="00B918A5">
        <w:rPr>
          <w:i/>
        </w:rPr>
        <w:t>initially by the core state plan team but</w:t>
      </w:r>
      <w:r w:rsidR="00F11ED7" w:rsidRPr="00A21970">
        <w:rPr>
          <w:i/>
        </w:rPr>
        <w:t xml:space="preserve"> must be informed by input from state partners and stakeholders</w:t>
      </w:r>
      <w:r w:rsidR="00CF1B9E">
        <w:rPr>
          <w:i/>
        </w:rPr>
        <w:t xml:space="preserve"> and </w:t>
      </w:r>
      <w:r w:rsidR="002B248C">
        <w:rPr>
          <w:i/>
        </w:rPr>
        <w:t>include</w:t>
      </w:r>
      <w:r w:rsidR="00CF1B9E">
        <w:rPr>
          <w:i/>
        </w:rPr>
        <w:t xml:space="preserve"> CTE at the secondary and postsecondary levels</w:t>
      </w:r>
      <w:r w:rsidR="00F11ED7" w:rsidRPr="00A21970">
        <w:rPr>
          <w:i/>
        </w:rPr>
        <w:t>.</w:t>
      </w:r>
    </w:p>
    <w:p w14:paraId="2143D797" w14:textId="3D6FA2A3" w:rsidR="005E6AAD" w:rsidRDefault="005E6AAD" w:rsidP="00AE7991">
      <w:pPr>
        <w:pBdr>
          <w:top w:val="single" w:sz="12" w:space="1" w:color="7AB800"/>
          <w:left w:val="single" w:sz="12" w:space="4" w:color="7AB800"/>
          <w:bottom w:val="single" w:sz="12" w:space="13" w:color="7AB800"/>
          <w:right w:val="single" w:sz="12" w:space="4" w:color="7AB800"/>
        </w:pBdr>
        <w:spacing w:after="240" w:line="240" w:lineRule="auto"/>
      </w:pPr>
      <w:r w:rsidRPr="00FA60E8">
        <w:rPr>
          <w:i/>
          <w:u w:val="single"/>
        </w:rPr>
        <w:t>Section 3:</w:t>
      </w:r>
      <w:r w:rsidR="00780550" w:rsidRPr="00FA60E8">
        <w:rPr>
          <w:i/>
          <w:u w:val="single"/>
        </w:rPr>
        <w:t xml:space="preserve"> Strengthen Your Statewide Vision and Goals for CTE</w:t>
      </w:r>
      <w:r w:rsidR="00B43F4C" w:rsidRPr="00A57196">
        <w:rPr>
          <w:i/>
          <w:u w:val="single"/>
        </w:rPr>
        <w:t>:</w:t>
      </w:r>
      <w:r w:rsidR="00780550">
        <w:t xml:space="preserve"> </w:t>
      </w:r>
      <w:r w:rsidR="007B3E97" w:rsidRPr="008B380D">
        <w:rPr>
          <w:i/>
        </w:rPr>
        <w:t xml:space="preserve">Once you </w:t>
      </w:r>
      <w:r w:rsidR="00FA60E8" w:rsidRPr="008B380D">
        <w:rPr>
          <w:i/>
        </w:rPr>
        <w:t>have made key decisions about where you want to go a</w:t>
      </w:r>
      <w:r w:rsidR="00A21970">
        <w:rPr>
          <w:i/>
        </w:rPr>
        <w:t xml:space="preserve">nd gathered the necessary input </w:t>
      </w:r>
      <w:r w:rsidR="00FA60E8" w:rsidRPr="008B380D">
        <w:rPr>
          <w:i/>
        </w:rPr>
        <w:t xml:space="preserve">and buy-in from partners and stakeholders, </w:t>
      </w:r>
      <w:r w:rsidR="002B248C">
        <w:rPr>
          <w:i/>
        </w:rPr>
        <w:t xml:space="preserve">you should </w:t>
      </w:r>
      <w:r w:rsidR="00FA60E8" w:rsidRPr="008B380D">
        <w:rPr>
          <w:i/>
        </w:rPr>
        <w:t>lock in your statewide vision and related goals and priorities that will be the core of your Perkins V state plan.</w:t>
      </w:r>
      <w:r w:rsidR="007B3E97" w:rsidRPr="008B380D">
        <w:rPr>
          <w:i/>
        </w:rPr>
        <w:t xml:space="preserve"> </w:t>
      </w:r>
    </w:p>
    <w:p w14:paraId="42B27673" w14:textId="7EBF1D01" w:rsidR="005E6AAD" w:rsidRPr="00780550" w:rsidRDefault="005E6AAD" w:rsidP="00AE7991">
      <w:pPr>
        <w:pBdr>
          <w:top w:val="single" w:sz="12" w:space="1" w:color="7AB800"/>
          <w:left w:val="single" w:sz="12" w:space="4" w:color="7AB800"/>
          <w:bottom w:val="single" w:sz="12" w:space="13" w:color="7AB800"/>
          <w:right w:val="single" w:sz="12" w:space="4" w:color="7AB800"/>
        </w:pBdr>
        <w:spacing w:after="240" w:line="240" w:lineRule="auto"/>
      </w:pPr>
      <w:r w:rsidRPr="00FA60E8">
        <w:rPr>
          <w:i/>
          <w:u w:val="single"/>
        </w:rPr>
        <w:t xml:space="preserve">Section 4: </w:t>
      </w:r>
      <w:r w:rsidR="00780550" w:rsidRPr="00FA60E8">
        <w:rPr>
          <w:i/>
          <w:u w:val="single"/>
        </w:rPr>
        <w:t>Leverage Perkins V to Advance Your Statewide Vision for CTE</w:t>
      </w:r>
      <w:r w:rsidR="00B43F4C" w:rsidRPr="00A57196">
        <w:rPr>
          <w:i/>
          <w:u w:val="single"/>
        </w:rPr>
        <w:t>:</w:t>
      </w:r>
      <w:r w:rsidR="00FA60E8">
        <w:t xml:space="preserve"> </w:t>
      </w:r>
      <w:r w:rsidR="00FA60E8" w:rsidRPr="008B380D">
        <w:rPr>
          <w:i/>
        </w:rPr>
        <w:t>Perkins V offers a number of leadership levers that can be used to advance</w:t>
      </w:r>
      <w:r w:rsidR="00674D89">
        <w:rPr>
          <w:i/>
        </w:rPr>
        <w:t xml:space="preserve"> and/or accelerate the accomplishment of</w:t>
      </w:r>
      <w:r w:rsidR="00FA60E8" w:rsidRPr="008B380D">
        <w:rPr>
          <w:i/>
        </w:rPr>
        <w:t xml:space="preserve"> your statewide vision and strategic goals and priorities</w:t>
      </w:r>
      <w:r w:rsidR="008B380D" w:rsidRPr="008B380D">
        <w:rPr>
          <w:i/>
        </w:rPr>
        <w:t>.</w:t>
      </w:r>
      <w:r w:rsidR="00B918A5">
        <w:rPr>
          <w:i/>
        </w:rPr>
        <w:t xml:space="preserve"> This </w:t>
      </w:r>
      <w:r w:rsidR="00CF1B9E">
        <w:rPr>
          <w:i/>
        </w:rPr>
        <w:t>section</w:t>
      </w:r>
      <w:r w:rsidR="00B918A5">
        <w:rPr>
          <w:i/>
        </w:rPr>
        <w:t xml:space="preserve"> unpacks </w:t>
      </w:r>
      <w:r w:rsidR="008B380D" w:rsidRPr="008B380D">
        <w:rPr>
          <w:i/>
        </w:rPr>
        <w:t xml:space="preserve">those levers </w:t>
      </w:r>
      <w:r w:rsidR="00B918A5">
        <w:rPr>
          <w:i/>
        </w:rPr>
        <w:t>and explores how they can be used</w:t>
      </w:r>
      <w:r w:rsidR="008B380D" w:rsidRPr="008B380D">
        <w:rPr>
          <w:i/>
        </w:rPr>
        <w:t>.</w:t>
      </w:r>
      <w:r w:rsidR="008B380D">
        <w:t xml:space="preserve"> </w:t>
      </w:r>
    </w:p>
    <w:p w14:paraId="5376F544" w14:textId="77777777" w:rsidR="005E6AAD" w:rsidRDefault="005E6AAD" w:rsidP="00AE7991">
      <w:pPr>
        <w:spacing w:after="0" w:line="240" w:lineRule="auto"/>
        <w:rPr>
          <w:rFonts w:asciiTheme="majorHAnsi" w:eastAsiaTheme="majorEastAsia" w:hAnsiTheme="majorHAnsi" w:cstheme="majorBidi"/>
          <w:b/>
          <w:color w:val="2E74B5" w:themeColor="accent1" w:themeShade="BF"/>
          <w:sz w:val="26"/>
          <w:szCs w:val="26"/>
        </w:rPr>
      </w:pPr>
      <w:r>
        <w:rPr>
          <w:b/>
        </w:rPr>
        <w:br w:type="page"/>
      </w:r>
    </w:p>
    <w:p w14:paraId="15AC033A" w14:textId="77777777" w:rsidR="005E6AAD" w:rsidRPr="00AB498A" w:rsidRDefault="005E6AAD" w:rsidP="00AE7991">
      <w:pPr>
        <w:pStyle w:val="Heading2"/>
        <w:spacing w:before="0" w:line="240" w:lineRule="auto"/>
        <w:rPr>
          <w:b/>
        </w:rPr>
      </w:pPr>
      <w:r w:rsidRPr="00AB498A">
        <w:rPr>
          <w:b/>
        </w:rPr>
        <w:lastRenderedPageBreak/>
        <w:t xml:space="preserve">Section 1: </w:t>
      </w:r>
      <w:r>
        <w:rPr>
          <w:b/>
        </w:rPr>
        <w:t xml:space="preserve">Reflect on </w:t>
      </w:r>
      <w:r w:rsidRPr="00AB498A">
        <w:rPr>
          <w:b/>
        </w:rPr>
        <w:t xml:space="preserve">Your </w:t>
      </w:r>
      <w:r w:rsidR="00780550">
        <w:rPr>
          <w:b/>
        </w:rPr>
        <w:t xml:space="preserve">State’s </w:t>
      </w:r>
      <w:r w:rsidRPr="00AB498A">
        <w:rPr>
          <w:b/>
        </w:rPr>
        <w:t>Vision for CTE</w:t>
      </w:r>
    </w:p>
    <w:p w14:paraId="03049387" w14:textId="2A82BBB5" w:rsidR="005E6AAD" w:rsidRDefault="005E6AAD" w:rsidP="00AE7991">
      <w:pPr>
        <w:spacing w:after="0" w:line="240" w:lineRule="auto"/>
      </w:pPr>
      <w:r>
        <w:t>As a first step, state CTE leaders should reflect on their current vision for CTE</w:t>
      </w:r>
      <w:r w:rsidR="00B918A5">
        <w:t xml:space="preserve"> </w:t>
      </w:r>
      <w:r w:rsidR="0027530D">
        <w:t xml:space="preserve">— </w:t>
      </w:r>
      <w:r w:rsidR="00B918A5">
        <w:t>if there is one</w:t>
      </w:r>
      <w:r w:rsidR="00CF1B9E">
        <w:t xml:space="preserve"> </w:t>
      </w:r>
      <w:r w:rsidR="0027530D">
        <w:t xml:space="preserve">— </w:t>
      </w:r>
      <w:r>
        <w:t>as well as other major state priorities</w:t>
      </w:r>
      <w:r w:rsidR="00674D89">
        <w:t>, initiatives</w:t>
      </w:r>
      <w:r>
        <w:t xml:space="preserve"> and goals related to education and workforce</w:t>
      </w:r>
      <w:r w:rsidR="00AF4A3E">
        <w:t xml:space="preserve"> development</w:t>
      </w:r>
      <w:r>
        <w:t xml:space="preserve">. This starting point </w:t>
      </w:r>
      <w:r w:rsidR="0027530D">
        <w:t xml:space="preserve">is critical </w:t>
      </w:r>
      <w:r>
        <w:t xml:space="preserve">to get all of these priorities on the table upfront </w:t>
      </w:r>
      <w:r w:rsidR="0027530D">
        <w:t xml:space="preserve">and </w:t>
      </w:r>
      <w:r w:rsidRPr="00BD1EFF">
        <w:t xml:space="preserve">find opportunities for </w:t>
      </w:r>
      <w:r>
        <w:t xml:space="preserve">greater alignment and collaboration, as well as </w:t>
      </w:r>
      <w:r w:rsidR="002B248C">
        <w:t xml:space="preserve">areas </w:t>
      </w:r>
      <w:r>
        <w:t xml:space="preserve">where </w:t>
      </w:r>
      <w:r w:rsidRPr="00BD1EFF">
        <w:t>conflicting goals or strategies</w:t>
      </w:r>
      <w:r>
        <w:t xml:space="preserve"> </w:t>
      </w:r>
      <w:r w:rsidR="004B5689">
        <w:t>may</w:t>
      </w:r>
      <w:r>
        <w:t xml:space="preserve"> hinder your Perkins planning process</w:t>
      </w:r>
      <w:r w:rsidRPr="00BD1EFF">
        <w:t xml:space="preserve">. </w:t>
      </w:r>
    </w:p>
    <w:p w14:paraId="619C5225" w14:textId="77777777" w:rsidR="005E6AAD" w:rsidRDefault="005E6AAD" w:rsidP="00AE7991">
      <w:pPr>
        <w:spacing w:after="0" w:line="240" w:lineRule="auto"/>
      </w:pPr>
    </w:p>
    <w:tbl>
      <w:tblPr>
        <w:tblStyle w:val="TableGrid"/>
        <w:tblW w:w="14395" w:type="dxa"/>
        <w:tblBorders>
          <w:insideV w:val="none" w:sz="0" w:space="0" w:color="auto"/>
        </w:tblBorders>
        <w:tblLook w:val="04A0" w:firstRow="1" w:lastRow="0" w:firstColumn="1" w:lastColumn="0" w:noHBand="0" w:noVBand="1"/>
      </w:tblPr>
      <w:tblGrid>
        <w:gridCol w:w="4979"/>
        <w:gridCol w:w="9416"/>
      </w:tblGrid>
      <w:tr w:rsidR="005E6AAD" w14:paraId="08B22E60" w14:textId="77777777" w:rsidTr="007478F7">
        <w:trPr>
          <w:trHeight w:val="588"/>
          <w:tblHeader/>
        </w:trPr>
        <w:tc>
          <w:tcPr>
            <w:tcW w:w="4979" w:type="dxa"/>
            <w:shd w:val="clear" w:color="auto" w:fill="002060"/>
            <w:vAlign w:val="center"/>
          </w:tcPr>
          <w:p w14:paraId="450846CF" w14:textId="77777777" w:rsidR="005E6AAD" w:rsidRPr="00B25690" w:rsidRDefault="005E6AAD" w:rsidP="007478F7">
            <w:pPr>
              <w:spacing w:after="0" w:line="240" w:lineRule="auto"/>
              <w:jc w:val="center"/>
              <w:rPr>
                <w:b/>
                <w:sz w:val="24"/>
              </w:rPr>
            </w:pPr>
            <w:r w:rsidRPr="00B25690">
              <w:rPr>
                <w:b/>
                <w:sz w:val="24"/>
              </w:rPr>
              <w:t>Section 1: Your Vision for CTE</w:t>
            </w:r>
          </w:p>
        </w:tc>
        <w:tc>
          <w:tcPr>
            <w:tcW w:w="9416" w:type="dxa"/>
            <w:shd w:val="clear" w:color="auto" w:fill="002060"/>
          </w:tcPr>
          <w:p w14:paraId="69915D38" w14:textId="77777777" w:rsidR="005E6AAD" w:rsidRPr="00B25690" w:rsidRDefault="005E6AAD" w:rsidP="00AE7991">
            <w:pPr>
              <w:spacing w:after="0" w:line="240" w:lineRule="auto"/>
              <w:rPr>
                <w:b/>
              </w:rPr>
            </w:pPr>
          </w:p>
        </w:tc>
      </w:tr>
      <w:tr w:rsidR="005E6AAD" w14:paraId="73E8F190" w14:textId="77777777">
        <w:trPr>
          <w:trHeight w:val="1592"/>
        </w:trPr>
        <w:tc>
          <w:tcPr>
            <w:tcW w:w="4979" w:type="dxa"/>
            <w:vAlign w:val="center"/>
          </w:tcPr>
          <w:p w14:paraId="36A9C41C" w14:textId="77777777" w:rsidR="005E6AAD" w:rsidRPr="00B918A5" w:rsidRDefault="005E6AAD" w:rsidP="00AE7991">
            <w:pPr>
              <w:spacing w:after="0" w:line="240" w:lineRule="auto"/>
            </w:pPr>
            <w:r>
              <w:t xml:space="preserve">What is your statewide vision for CTE? </w:t>
            </w:r>
          </w:p>
        </w:tc>
        <w:tc>
          <w:tcPr>
            <w:tcW w:w="9416" w:type="dxa"/>
          </w:tcPr>
          <w:p w14:paraId="29D53898" w14:textId="77777777" w:rsidR="005E6AAD" w:rsidRDefault="005E6AAD" w:rsidP="00AE7991">
            <w:pPr>
              <w:spacing w:after="0" w:line="240" w:lineRule="auto"/>
            </w:pPr>
          </w:p>
        </w:tc>
      </w:tr>
      <w:tr w:rsidR="005E6AAD" w14:paraId="4DE13C5B" w14:textId="77777777">
        <w:trPr>
          <w:trHeight w:val="1651"/>
        </w:trPr>
        <w:tc>
          <w:tcPr>
            <w:tcW w:w="4979" w:type="dxa"/>
            <w:vAlign w:val="center"/>
          </w:tcPr>
          <w:p w14:paraId="4A88130E" w14:textId="77777777" w:rsidR="005E6AAD" w:rsidRPr="0048294B" w:rsidRDefault="005E6AAD" w:rsidP="00AE7991">
            <w:pPr>
              <w:spacing w:after="0" w:line="240" w:lineRule="auto"/>
            </w:pPr>
            <w:r w:rsidRPr="0048294B">
              <w:t xml:space="preserve">What are the </w:t>
            </w:r>
            <w:r>
              <w:t>s</w:t>
            </w:r>
            <w:r w:rsidRPr="0048294B">
              <w:t xml:space="preserve">tate’s current goals and/or priorities for CTE? </w:t>
            </w:r>
          </w:p>
        </w:tc>
        <w:tc>
          <w:tcPr>
            <w:tcW w:w="9416" w:type="dxa"/>
          </w:tcPr>
          <w:p w14:paraId="614FCFBC" w14:textId="77777777" w:rsidR="005E6AAD" w:rsidRDefault="005E6AAD" w:rsidP="00AE7991">
            <w:pPr>
              <w:spacing w:after="0" w:line="240" w:lineRule="auto"/>
            </w:pPr>
          </w:p>
        </w:tc>
      </w:tr>
      <w:tr w:rsidR="005E6AAD" w14:paraId="19E12A01" w14:textId="77777777">
        <w:trPr>
          <w:trHeight w:val="2212"/>
        </w:trPr>
        <w:tc>
          <w:tcPr>
            <w:tcW w:w="4979" w:type="dxa"/>
            <w:vAlign w:val="center"/>
          </w:tcPr>
          <w:p w14:paraId="54D55FD3" w14:textId="77777777" w:rsidR="005E6AAD" w:rsidRPr="0048294B" w:rsidRDefault="005E6AAD" w:rsidP="00AE7991">
            <w:pPr>
              <w:spacing w:after="0" w:line="240" w:lineRule="auto"/>
            </w:pPr>
            <w:r w:rsidRPr="0048294B">
              <w:t xml:space="preserve">What is </w:t>
            </w:r>
            <w:r w:rsidR="00663F92">
              <w:t xml:space="preserve">the </w:t>
            </w:r>
            <w:r w:rsidRPr="0048294B">
              <w:t xml:space="preserve">relationship </w:t>
            </w:r>
            <w:r w:rsidR="00663F92">
              <w:t xml:space="preserve">between </w:t>
            </w:r>
            <w:r w:rsidRPr="0048294B">
              <w:t xml:space="preserve">CTE </w:t>
            </w:r>
            <w:r w:rsidR="00663F92">
              <w:t>and</w:t>
            </w:r>
            <w:r w:rsidRPr="0048294B">
              <w:t xml:space="preserve"> </w:t>
            </w:r>
            <w:r>
              <w:t>the state’s workforce development</w:t>
            </w:r>
            <w:r w:rsidRPr="0048294B">
              <w:t xml:space="preserve"> goals</w:t>
            </w:r>
            <w:r>
              <w:t xml:space="preserve">, including those identified in </w:t>
            </w:r>
            <w:r w:rsidR="00663F92">
              <w:t>the Workforce Innovation and Opportunity Act (</w:t>
            </w:r>
            <w:r>
              <w:t>WIOA</w:t>
            </w:r>
            <w:r w:rsidR="00663F92">
              <w:t>)</w:t>
            </w:r>
            <w:r>
              <w:t xml:space="preserve">? </w:t>
            </w:r>
            <w:r w:rsidR="00B918A5">
              <w:t xml:space="preserve">Where is there alignment? </w:t>
            </w:r>
            <w:r>
              <w:t>Where are there gaps or misaligned goals?</w:t>
            </w:r>
          </w:p>
        </w:tc>
        <w:tc>
          <w:tcPr>
            <w:tcW w:w="9416" w:type="dxa"/>
          </w:tcPr>
          <w:p w14:paraId="18CA09A8" w14:textId="77777777" w:rsidR="005E6AAD" w:rsidRDefault="005E6AAD" w:rsidP="00AE7991">
            <w:pPr>
              <w:spacing w:after="0" w:line="240" w:lineRule="auto"/>
            </w:pPr>
          </w:p>
        </w:tc>
      </w:tr>
      <w:tr w:rsidR="005E6AAD" w14:paraId="04E95362" w14:textId="77777777">
        <w:trPr>
          <w:trHeight w:val="2303"/>
        </w:trPr>
        <w:tc>
          <w:tcPr>
            <w:tcW w:w="4979" w:type="dxa"/>
            <w:vAlign w:val="center"/>
          </w:tcPr>
          <w:p w14:paraId="6E153623" w14:textId="22E35D40" w:rsidR="005E6AAD" w:rsidRPr="00C756E9" w:rsidRDefault="005E6AAD" w:rsidP="00AE7991">
            <w:pPr>
              <w:spacing w:after="0" w:line="240" w:lineRule="auto"/>
            </w:pPr>
            <w:r w:rsidRPr="0048294B">
              <w:lastRenderedPageBreak/>
              <w:t xml:space="preserve">What is relationship </w:t>
            </w:r>
            <w:r w:rsidR="00663F92">
              <w:t>between</w:t>
            </w:r>
            <w:r w:rsidRPr="0048294B">
              <w:t xml:space="preserve"> CTE </w:t>
            </w:r>
            <w:r w:rsidR="00663F92">
              <w:t>and</w:t>
            </w:r>
            <w:r w:rsidRPr="0048294B">
              <w:t xml:space="preserve"> </w:t>
            </w:r>
            <w:r>
              <w:t>the state’s K-12 education</w:t>
            </w:r>
            <w:r w:rsidRPr="0048294B">
              <w:t xml:space="preserve"> goals</w:t>
            </w:r>
            <w:r>
              <w:t xml:space="preserve">, including those identified in </w:t>
            </w:r>
            <w:r w:rsidR="00663F92">
              <w:t>the Every Student Succeeds Act</w:t>
            </w:r>
            <w:r>
              <w:t>? Where is there alignment? Where are there gaps or misaligned goals?</w:t>
            </w:r>
          </w:p>
        </w:tc>
        <w:tc>
          <w:tcPr>
            <w:tcW w:w="9416" w:type="dxa"/>
          </w:tcPr>
          <w:p w14:paraId="3ECACB62" w14:textId="77777777" w:rsidR="005E6AAD" w:rsidRDefault="005E6AAD" w:rsidP="00AE7991">
            <w:pPr>
              <w:spacing w:after="0" w:line="240" w:lineRule="auto"/>
            </w:pPr>
          </w:p>
        </w:tc>
      </w:tr>
      <w:tr w:rsidR="005E6AAD" w14:paraId="11FCAB6A" w14:textId="77777777">
        <w:trPr>
          <w:trHeight w:val="2212"/>
        </w:trPr>
        <w:tc>
          <w:tcPr>
            <w:tcW w:w="4979" w:type="dxa"/>
            <w:vAlign w:val="center"/>
          </w:tcPr>
          <w:p w14:paraId="063095D8" w14:textId="77777777" w:rsidR="005E6AAD" w:rsidRPr="0048294B" w:rsidRDefault="005E6AAD" w:rsidP="00AE7991">
            <w:pPr>
              <w:spacing w:after="0" w:line="240" w:lineRule="auto"/>
            </w:pPr>
            <w:r w:rsidRPr="0048294B">
              <w:t xml:space="preserve">What is </w:t>
            </w:r>
            <w:r w:rsidR="00663F92">
              <w:t xml:space="preserve">the </w:t>
            </w:r>
            <w:r w:rsidRPr="0048294B">
              <w:t xml:space="preserve">relationship </w:t>
            </w:r>
            <w:r w:rsidR="00E64B0B">
              <w:t>between</w:t>
            </w:r>
            <w:r w:rsidRPr="0048294B">
              <w:t xml:space="preserve"> CTE </w:t>
            </w:r>
            <w:r w:rsidR="00663F92">
              <w:t>and</w:t>
            </w:r>
            <w:r w:rsidRPr="0048294B">
              <w:t xml:space="preserve"> </w:t>
            </w:r>
            <w:r>
              <w:t>the state’s postsecondary education</w:t>
            </w:r>
            <w:r w:rsidRPr="0048294B">
              <w:t xml:space="preserve"> goals</w:t>
            </w:r>
            <w:r>
              <w:t>, including statewide attainment goals?</w:t>
            </w:r>
            <w:r w:rsidR="00B918A5">
              <w:t xml:space="preserve"> Where is there alignment?</w:t>
            </w:r>
            <w:r>
              <w:t xml:space="preserve"> Where are there gaps or misaligned goals?</w:t>
            </w:r>
          </w:p>
        </w:tc>
        <w:tc>
          <w:tcPr>
            <w:tcW w:w="9416" w:type="dxa"/>
          </w:tcPr>
          <w:p w14:paraId="10F13EA3" w14:textId="77777777" w:rsidR="005E6AAD" w:rsidRDefault="005E6AAD" w:rsidP="00AE7991">
            <w:pPr>
              <w:spacing w:after="0" w:line="240" w:lineRule="auto"/>
            </w:pPr>
          </w:p>
        </w:tc>
      </w:tr>
      <w:tr w:rsidR="005E6AAD" w14:paraId="5EDE9C86" w14:textId="77777777">
        <w:trPr>
          <w:trHeight w:val="1936"/>
        </w:trPr>
        <w:tc>
          <w:tcPr>
            <w:tcW w:w="4979" w:type="dxa"/>
            <w:vAlign w:val="center"/>
          </w:tcPr>
          <w:p w14:paraId="2548BDD4" w14:textId="077D1D3F" w:rsidR="005E6AAD" w:rsidRDefault="005E6AAD" w:rsidP="00AE7991">
            <w:pPr>
              <w:spacing w:after="0" w:line="240" w:lineRule="auto"/>
            </w:pPr>
            <w:r w:rsidRPr="0048294B">
              <w:t>What is</w:t>
            </w:r>
            <w:r w:rsidR="00663F92">
              <w:t xml:space="preserve"> the</w:t>
            </w:r>
            <w:r w:rsidRPr="0048294B">
              <w:t xml:space="preserve"> relationship </w:t>
            </w:r>
            <w:r w:rsidR="00663F92">
              <w:t>between</w:t>
            </w:r>
            <w:r w:rsidRPr="0048294B">
              <w:t xml:space="preserve"> CTE </w:t>
            </w:r>
            <w:r w:rsidR="00663F92">
              <w:t>and</w:t>
            </w:r>
            <w:r w:rsidRPr="0048294B">
              <w:t xml:space="preserve"> </w:t>
            </w:r>
            <w:r>
              <w:t>the</w:t>
            </w:r>
            <w:r w:rsidRPr="0048294B">
              <w:t xml:space="preserve"> </w:t>
            </w:r>
            <w:r w:rsidR="004B5689">
              <w:t>g</w:t>
            </w:r>
            <w:r w:rsidR="004B5689" w:rsidRPr="0048294B">
              <w:t xml:space="preserve">overnor’s </w:t>
            </w:r>
            <w:r w:rsidRPr="0048294B">
              <w:t xml:space="preserve">priorities </w:t>
            </w:r>
            <w:r>
              <w:t>for</w:t>
            </w:r>
            <w:r w:rsidRPr="0048294B">
              <w:t xml:space="preserve"> education, workforce development and economic development? </w:t>
            </w:r>
            <w:r w:rsidR="00B918A5">
              <w:t xml:space="preserve">Where is there alignment? </w:t>
            </w:r>
            <w:r>
              <w:t>Where are there gaps or misaligned goals?</w:t>
            </w:r>
          </w:p>
          <w:p w14:paraId="72A729F5" w14:textId="17D40E0E" w:rsidR="005E6AAD" w:rsidRPr="00B25690" w:rsidRDefault="005E6AAD" w:rsidP="00AE7991">
            <w:pPr>
              <w:spacing w:after="0" w:line="240" w:lineRule="auto"/>
              <w:rPr>
                <w:i/>
              </w:rPr>
            </w:pPr>
            <w:r w:rsidRPr="002E3488">
              <w:rPr>
                <w:i/>
                <w:sz w:val="20"/>
              </w:rPr>
              <w:t xml:space="preserve">NOTE: Given </w:t>
            </w:r>
            <w:r w:rsidR="006861A3">
              <w:rPr>
                <w:i/>
                <w:sz w:val="20"/>
              </w:rPr>
              <w:t xml:space="preserve">the </w:t>
            </w:r>
            <w:r w:rsidRPr="002E3488">
              <w:rPr>
                <w:i/>
                <w:sz w:val="20"/>
              </w:rPr>
              <w:t xml:space="preserve">2018 elections, </w:t>
            </w:r>
            <w:r w:rsidR="004B5689">
              <w:rPr>
                <w:i/>
                <w:sz w:val="20"/>
              </w:rPr>
              <w:t xml:space="preserve">your state </w:t>
            </w:r>
            <w:r w:rsidRPr="002E3488">
              <w:rPr>
                <w:i/>
                <w:sz w:val="20"/>
              </w:rPr>
              <w:t>may need to be more proactive about engaging new leadership</w:t>
            </w:r>
            <w:r w:rsidR="004B5689">
              <w:rPr>
                <w:i/>
                <w:sz w:val="20"/>
              </w:rPr>
              <w:t>.</w:t>
            </w:r>
          </w:p>
        </w:tc>
        <w:tc>
          <w:tcPr>
            <w:tcW w:w="9416" w:type="dxa"/>
          </w:tcPr>
          <w:p w14:paraId="120181D6" w14:textId="77777777" w:rsidR="005E6AAD" w:rsidRDefault="005E6AAD" w:rsidP="00AE7991">
            <w:pPr>
              <w:spacing w:after="0" w:line="240" w:lineRule="auto"/>
            </w:pPr>
          </w:p>
        </w:tc>
      </w:tr>
      <w:tr w:rsidR="00E64B0B" w14:paraId="661E2135" w14:textId="77777777">
        <w:trPr>
          <w:trHeight w:val="1936"/>
        </w:trPr>
        <w:tc>
          <w:tcPr>
            <w:tcW w:w="4979" w:type="dxa"/>
            <w:vAlign w:val="center"/>
          </w:tcPr>
          <w:p w14:paraId="1D2799D9" w14:textId="77777777" w:rsidR="00E64B0B" w:rsidRPr="0048294B" w:rsidRDefault="00E64B0B" w:rsidP="00B918A5">
            <w:pPr>
              <w:spacing w:after="0" w:line="240" w:lineRule="auto"/>
            </w:pPr>
            <w:r w:rsidRPr="0048294B">
              <w:t>What strategies</w:t>
            </w:r>
            <w:r w:rsidR="00B918A5">
              <w:t xml:space="preserve">, </w:t>
            </w:r>
            <w:r>
              <w:t>structures</w:t>
            </w:r>
            <w:r w:rsidRPr="0048294B">
              <w:t xml:space="preserve"> </w:t>
            </w:r>
            <w:r w:rsidR="00B918A5">
              <w:t xml:space="preserve">and/or processes </w:t>
            </w:r>
            <w:r w:rsidRPr="0048294B">
              <w:t xml:space="preserve">are in place </w:t>
            </w:r>
            <w:r>
              <w:t>that support</w:t>
            </w:r>
            <w:r w:rsidRPr="0048294B">
              <w:t xml:space="preserve"> joint planning, coordination and alignment </w:t>
            </w:r>
            <w:r>
              <w:t>across</w:t>
            </w:r>
            <w:r w:rsidRPr="0048294B">
              <w:t xml:space="preserve"> workforce and education </w:t>
            </w:r>
            <w:r>
              <w:t xml:space="preserve">policies and </w:t>
            </w:r>
            <w:r w:rsidRPr="0048294B">
              <w:t>programs</w:t>
            </w:r>
            <w:r>
              <w:t>?</w:t>
            </w:r>
            <w:r w:rsidRPr="0048294B">
              <w:t xml:space="preserve"> </w:t>
            </w:r>
          </w:p>
        </w:tc>
        <w:tc>
          <w:tcPr>
            <w:tcW w:w="9416" w:type="dxa"/>
          </w:tcPr>
          <w:p w14:paraId="1345D328" w14:textId="77777777" w:rsidR="00E64B0B" w:rsidRDefault="00E64B0B" w:rsidP="00E64B0B">
            <w:pPr>
              <w:spacing w:after="0" w:line="240" w:lineRule="auto"/>
            </w:pPr>
          </w:p>
          <w:p w14:paraId="78C25748" w14:textId="77777777" w:rsidR="00E64B0B" w:rsidRPr="00E64B0B" w:rsidRDefault="00E64B0B" w:rsidP="00E64B0B"/>
          <w:p w14:paraId="529B565F" w14:textId="77777777" w:rsidR="00E64B0B" w:rsidRPr="00E64B0B" w:rsidRDefault="00E64B0B" w:rsidP="00E64B0B"/>
          <w:p w14:paraId="2C4D6609" w14:textId="77777777" w:rsidR="00E64B0B" w:rsidRPr="00E64B0B" w:rsidRDefault="00E64B0B" w:rsidP="00E64B0B"/>
          <w:p w14:paraId="305033D9" w14:textId="77777777" w:rsidR="00E64B0B" w:rsidRPr="00E64B0B" w:rsidRDefault="00E64B0B" w:rsidP="00E64B0B"/>
          <w:p w14:paraId="0FE1D7BD" w14:textId="77777777" w:rsidR="00E64B0B" w:rsidRPr="00E64B0B" w:rsidRDefault="00E64B0B" w:rsidP="00E64B0B">
            <w:pPr>
              <w:tabs>
                <w:tab w:val="left" w:pos="6405"/>
              </w:tabs>
            </w:pPr>
            <w:r>
              <w:tab/>
            </w:r>
          </w:p>
        </w:tc>
      </w:tr>
    </w:tbl>
    <w:p w14:paraId="2CECED42" w14:textId="77777777" w:rsidR="005E6AAD" w:rsidRPr="00AB498A" w:rsidRDefault="005E6AAD" w:rsidP="00AE7991">
      <w:pPr>
        <w:pStyle w:val="Heading2"/>
        <w:spacing w:before="0" w:line="240" w:lineRule="auto"/>
        <w:rPr>
          <w:b/>
        </w:rPr>
      </w:pPr>
      <w:r w:rsidRPr="00AB498A">
        <w:rPr>
          <w:b/>
        </w:rPr>
        <w:lastRenderedPageBreak/>
        <w:t xml:space="preserve">Section 2: </w:t>
      </w:r>
      <w:r w:rsidR="00E64B0B">
        <w:rPr>
          <w:b/>
        </w:rPr>
        <w:t>Take Stock of Your</w:t>
      </w:r>
      <w:r w:rsidR="00780550">
        <w:rPr>
          <w:b/>
        </w:rPr>
        <w:t xml:space="preserve"> State’s CTE</w:t>
      </w:r>
      <w:r w:rsidRPr="00AB498A">
        <w:rPr>
          <w:b/>
        </w:rPr>
        <w:t xml:space="preserve"> </w:t>
      </w:r>
      <w:r>
        <w:rPr>
          <w:b/>
        </w:rPr>
        <w:t>S</w:t>
      </w:r>
      <w:r w:rsidRPr="00AB498A">
        <w:rPr>
          <w:b/>
        </w:rPr>
        <w:t>ystem</w:t>
      </w:r>
    </w:p>
    <w:p w14:paraId="1856D23F" w14:textId="5EDE5A15" w:rsidR="00DF58C8" w:rsidRDefault="00DF58C8" w:rsidP="00AE7991">
      <w:pPr>
        <w:spacing w:after="0" w:line="240" w:lineRule="auto"/>
      </w:pPr>
      <w:r>
        <w:t>Before you can make key decisions</w:t>
      </w:r>
      <w:r w:rsidR="00DD6D90">
        <w:t xml:space="preserve"> about where the CTE system needs to go </w:t>
      </w:r>
      <w:r w:rsidR="00663F92">
        <w:t xml:space="preserve">in the future, </w:t>
      </w:r>
      <w:r w:rsidR="00DD6D90">
        <w:t>you</w:t>
      </w:r>
      <w:r w:rsidR="00BB3281">
        <w:t xml:space="preserve"> should </w:t>
      </w:r>
      <w:r w:rsidR="00DD6D90">
        <w:t>reflect on where the system is now</w:t>
      </w:r>
      <w:r w:rsidR="00CF1B9E">
        <w:t xml:space="preserve">. </w:t>
      </w:r>
      <w:r w:rsidR="00AF45ED">
        <w:t>Leaders should consider</w:t>
      </w:r>
      <w:r w:rsidR="00CF1B9E">
        <w:t xml:space="preserve"> </w:t>
      </w:r>
      <w:r w:rsidR="00C80894">
        <w:t xml:space="preserve">what is </w:t>
      </w:r>
      <w:r w:rsidR="00CF1B9E">
        <w:t>working</w:t>
      </w:r>
      <w:r w:rsidR="00AF45ED">
        <w:t xml:space="preserve"> and needs to be scaled</w:t>
      </w:r>
      <w:r w:rsidR="00DD6D90">
        <w:t xml:space="preserve"> and where the greatest opportunities for improvement</w:t>
      </w:r>
      <w:r w:rsidR="00AF45ED">
        <w:t xml:space="preserve"> are at the secondary and/or postsecondary levels</w:t>
      </w:r>
      <w:r w:rsidR="00DD6D90">
        <w:t xml:space="preserve"> with respect to program quality and implementation; </w:t>
      </w:r>
      <w:r w:rsidR="00F278F1">
        <w:t xml:space="preserve">data and data systems; </w:t>
      </w:r>
      <w:r w:rsidR="00DD6D90">
        <w:t xml:space="preserve">equity and access; </w:t>
      </w:r>
      <w:r w:rsidR="00F278F1">
        <w:t xml:space="preserve">and </w:t>
      </w:r>
      <w:r w:rsidR="00DD6D90">
        <w:t xml:space="preserve">governance, administration and funding. While many of these topics will require consultation with state agencies and input from stakeholders, it is critical that CTE leaders have time to reflect on the system first </w:t>
      </w:r>
      <w:r w:rsidR="00BB0187">
        <w:t xml:space="preserve">— </w:t>
      </w:r>
      <w:r w:rsidR="00E64B0B">
        <w:t>not only</w:t>
      </w:r>
      <w:r w:rsidR="00DD6D90">
        <w:t xml:space="preserve"> to identify the key non-negotiables of the </w:t>
      </w:r>
      <w:r w:rsidR="00B40FFA">
        <w:t>Perkins V state plan</w:t>
      </w:r>
      <w:r w:rsidR="00DD6D90">
        <w:t xml:space="preserve"> but also to inform the stakeholder engagement process to make </w:t>
      </w:r>
      <w:r w:rsidR="00663F92">
        <w:t xml:space="preserve">sure </w:t>
      </w:r>
      <w:r w:rsidR="00DD6D90">
        <w:t xml:space="preserve">it </w:t>
      </w:r>
      <w:r w:rsidR="00663F92">
        <w:t xml:space="preserve">is </w:t>
      </w:r>
      <w:r w:rsidR="00DD6D90">
        <w:t xml:space="preserve">meaningful and focused. </w:t>
      </w:r>
    </w:p>
    <w:p w14:paraId="55CC897C" w14:textId="77777777" w:rsidR="00DF58C8" w:rsidRDefault="00DF58C8" w:rsidP="00AE7991">
      <w:pPr>
        <w:spacing w:after="0" w:line="240" w:lineRule="auto"/>
      </w:pPr>
    </w:p>
    <w:p w14:paraId="22C348A5" w14:textId="77777777" w:rsidR="00DF58C8" w:rsidRPr="00DF58C8" w:rsidRDefault="00DF58C8" w:rsidP="00AE7991">
      <w:pPr>
        <w:spacing w:after="0" w:line="240" w:lineRule="auto"/>
      </w:pPr>
      <w:r>
        <w:t>Specifically, as you complete this section, you should consider:</w:t>
      </w:r>
    </w:p>
    <w:p w14:paraId="38C69950" w14:textId="3430BCBC" w:rsidR="005E6AAD" w:rsidRPr="00B25690" w:rsidRDefault="005E6AAD" w:rsidP="00AE7991">
      <w:pPr>
        <w:pStyle w:val="ListParagraph"/>
        <w:numPr>
          <w:ilvl w:val="0"/>
          <w:numId w:val="10"/>
        </w:numPr>
        <w:spacing w:after="0" w:line="240" w:lineRule="auto"/>
        <w:rPr>
          <w:b/>
        </w:rPr>
      </w:pPr>
      <w:r>
        <w:t>How is your CTE system functioning? Where are you putting your energy</w:t>
      </w:r>
      <w:r w:rsidR="00663F92">
        <w:t>?</w:t>
      </w:r>
      <w:r>
        <w:t xml:space="preserve"> </w:t>
      </w:r>
      <w:r w:rsidR="00663F92">
        <w:t>I</w:t>
      </w:r>
      <w:r>
        <w:t>s it paying off?</w:t>
      </w:r>
      <w:r w:rsidR="00CF1B9E">
        <w:t xml:space="preserve"> </w:t>
      </w:r>
    </w:p>
    <w:p w14:paraId="35F474D2" w14:textId="1332CD0B" w:rsidR="005E6AAD" w:rsidRPr="00C07A95" w:rsidRDefault="005E6AAD" w:rsidP="00AE7991">
      <w:pPr>
        <w:pStyle w:val="ListParagraph"/>
        <w:numPr>
          <w:ilvl w:val="0"/>
          <w:numId w:val="10"/>
        </w:numPr>
        <w:spacing w:after="0" w:line="240" w:lineRule="auto"/>
        <w:rPr>
          <w:b/>
        </w:rPr>
      </w:pPr>
      <w:r>
        <w:t>What do the data say?</w:t>
      </w:r>
    </w:p>
    <w:p w14:paraId="7E325F32" w14:textId="77777777" w:rsidR="00E64B0B" w:rsidRPr="00E64B0B" w:rsidRDefault="005E6AAD" w:rsidP="00AE7991">
      <w:pPr>
        <w:pStyle w:val="ListParagraph"/>
        <w:numPr>
          <w:ilvl w:val="0"/>
          <w:numId w:val="10"/>
        </w:numPr>
        <w:spacing w:after="0" w:line="240" w:lineRule="auto"/>
        <w:rPr>
          <w:b/>
        </w:rPr>
      </w:pPr>
      <w:r>
        <w:t xml:space="preserve">Where do you want to go? </w:t>
      </w:r>
    </w:p>
    <w:p w14:paraId="6D7B093B" w14:textId="1EF0EAAD" w:rsidR="005E6AAD" w:rsidRPr="00E64B0B" w:rsidRDefault="00E64B0B" w:rsidP="00AE7991">
      <w:pPr>
        <w:pStyle w:val="ListParagraph"/>
        <w:numPr>
          <w:ilvl w:val="0"/>
          <w:numId w:val="10"/>
        </w:numPr>
        <w:spacing w:after="0" w:line="240" w:lineRule="auto"/>
        <w:rPr>
          <w:b/>
        </w:rPr>
      </w:pPr>
      <w:r>
        <w:t>And, once you have done the reflection in the first two columns, w</w:t>
      </w:r>
      <w:r w:rsidR="005E6AAD">
        <w:t xml:space="preserve">hat do </w:t>
      </w:r>
      <w:r w:rsidR="00DF58C8">
        <w:t xml:space="preserve">partners and </w:t>
      </w:r>
      <w:r w:rsidR="005E6AAD">
        <w:t>stakeholders say?</w:t>
      </w:r>
    </w:p>
    <w:p w14:paraId="241E173E" w14:textId="77777777" w:rsidR="00E64B0B" w:rsidRDefault="00E64B0B" w:rsidP="00E64B0B">
      <w:pPr>
        <w:spacing w:after="0" w:line="240" w:lineRule="auto"/>
        <w:rPr>
          <w:b/>
        </w:rPr>
      </w:pPr>
    </w:p>
    <w:p w14:paraId="316E7446" w14:textId="64541175" w:rsidR="00E64B0B" w:rsidRPr="00E64B0B" w:rsidRDefault="00E64B0B" w:rsidP="00E64B0B">
      <w:pPr>
        <w:spacing w:after="0" w:line="240" w:lineRule="auto"/>
      </w:pPr>
      <w:r w:rsidRPr="00E64B0B">
        <w:t xml:space="preserve">It is recommended </w:t>
      </w:r>
      <w:r w:rsidR="006861A3">
        <w:t xml:space="preserve">that </w:t>
      </w:r>
      <w:r w:rsidRPr="00E64B0B">
        <w:t>you start with your internal partners and your core planning team to reflect on your current system and look forward. The opportunities and challenges identified then may need to be vetted with partners</w:t>
      </w:r>
      <w:r w:rsidR="00CF1B9E">
        <w:t xml:space="preserve"> </w:t>
      </w:r>
      <w:r w:rsidRPr="00E64B0B">
        <w:t>a</w:t>
      </w:r>
      <w:r w:rsidR="00AF45ED">
        <w:t>nd stakeholders, starting with those required in Perkins V,</w:t>
      </w:r>
      <w:r w:rsidR="00AF45ED" w:rsidRPr="00E64B0B">
        <w:t xml:space="preserve"> </w:t>
      </w:r>
      <w:r w:rsidRPr="00E64B0B">
        <w:t xml:space="preserve">in later stages of the planning process. </w:t>
      </w:r>
    </w:p>
    <w:p w14:paraId="756F7798" w14:textId="082E8EBF" w:rsidR="005E6AAD" w:rsidRPr="00621C36" w:rsidRDefault="005E6AAD" w:rsidP="00AE7991">
      <w:pPr>
        <w:pStyle w:val="Heading3"/>
        <w:spacing w:line="240" w:lineRule="auto"/>
        <w:rPr>
          <w:color w:val="FFFFFF" w:themeColor="background1"/>
          <w:sz w:val="22"/>
        </w:rPr>
      </w:pPr>
    </w:p>
    <w:tbl>
      <w:tblPr>
        <w:tblStyle w:val="TableGrid"/>
        <w:tblW w:w="14377" w:type="dxa"/>
        <w:tblBorders>
          <w:insideV w:val="none" w:sz="0" w:space="0" w:color="auto"/>
        </w:tblBorders>
        <w:tblLook w:val="04A0" w:firstRow="1" w:lastRow="0" w:firstColumn="1" w:lastColumn="0" w:noHBand="0" w:noVBand="1"/>
      </w:tblPr>
      <w:tblGrid>
        <w:gridCol w:w="4546"/>
        <w:gridCol w:w="4791"/>
        <w:gridCol w:w="5040"/>
      </w:tblGrid>
      <w:tr w:rsidR="005E6AAD" w14:paraId="078DE5D8" w14:textId="77777777">
        <w:trPr>
          <w:trHeight w:val="548"/>
          <w:tblHeader/>
        </w:trPr>
        <w:tc>
          <w:tcPr>
            <w:tcW w:w="4546" w:type="dxa"/>
            <w:tcBorders>
              <w:top w:val="single" w:sz="18" w:space="0" w:color="auto"/>
              <w:left w:val="single" w:sz="18" w:space="0" w:color="auto"/>
            </w:tcBorders>
            <w:shd w:val="clear" w:color="auto" w:fill="002060"/>
            <w:vAlign w:val="center"/>
          </w:tcPr>
          <w:p w14:paraId="504BFE13" w14:textId="5AABC1D7" w:rsidR="005E6AAD" w:rsidRPr="00BD1EFF" w:rsidRDefault="005E6AAD" w:rsidP="00AE7991">
            <w:pPr>
              <w:spacing w:after="0" w:line="240" w:lineRule="auto"/>
              <w:jc w:val="center"/>
              <w:rPr>
                <w:b/>
                <w:sz w:val="24"/>
              </w:rPr>
            </w:pPr>
            <w:r w:rsidRPr="00BD1EFF">
              <w:rPr>
                <w:b/>
                <w:sz w:val="24"/>
              </w:rPr>
              <w:t xml:space="preserve">Reflect on </w:t>
            </w:r>
            <w:r w:rsidR="00BB0187">
              <w:rPr>
                <w:b/>
                <w:sz w:val="24"/>
              </w:rPr>
              <w:t>Y</w:t>
            </w:r>
            <w:r w:rsidR="00BB0187" w:rsidRPr="00BD1EFF">
              <w:rPr>
                <w:b/>
                <w:sz w:val="24"/>
              </w:rPr>
              <w:t xml:space="preserve">our </w:t>
            </w:r>
            <w:r w:rsidRPr="00BD1EFF">
              <w:rPr>
                <w:b/>
                <w:sz w:val="24"/>
              </w:rPr>
              <w:t xml:space="preserve">Current </w:t>
            </w:r>
            <w:r w:rsidR="00BB0187">
              <w:rPr>
                <w:b/>
                <w:sz w:val="24"/>
              </w:rPr>
              <w:t>S</w:t>
            </w:r>
            <w:r w:rsidR="00BB0187" w:rsidRPr="00BD1EFF">
              <w:rPr>
                <w:b/>
                <w:sz w:val="24"/>
              </w:rPr>
              <w:t>ystem</w:t>
            </w:r>
          </w:p>
        </w:tc>
        <w:tc>
          <w:tcPr>
            <w:tcW w:w="4791" w:type="dxa"/>
            <w:tcBorders>
              <w:top w:val="single" w:sz="18" w:space="0" w:color="auto"/>
            </w:tcBorders>
            <w:shd w:val="clear" w:color="auto" w:fill="002060"/>
            <w:vAlign w:val="center"/>
          </w:tcPr>
          <w:p w14:paraId="0E5F027C" w14:textId="77777777" w:rsidR="005E6AAD" w:rsidRPr="00BD1EFF" w:rsidRDefault="005E6AAD" w:rsidP="00AE7991">
            <w:pPr>
              <w:spacing w:after="0" w:line="240" w:lineRule="auto"/>
              <w:jc w:val="center"/>
              <w:rPr>
                <w:b/>
                <w:sz w:val="24"/>
              </w:rPr>
            </w:pPr>
            <w:r w:rsidRPr="00BD1EFF">
              <w:rPr>
                <w:b/>
                <w:sz w:val="24"/>
              </w:rPr>
              <w:t>Look Forward</w:t>
            </w:r>
          </w:p>
        </w:tc>
        <w:tc>
          <w:tcPr>
            <w:tcW w:w="5040" w:type="dxa"/>
            <w:tcBorders>
              <w:top w:val="single" w:sz="18" w:space="0" w:color="auto"/>
              <w:right w:val="single" w:sz="18" w:space="0" w:color="auto"/>
            </w:tcBorders>
            <w:shd w:val="clear" w:color="auto" w:fill="002060"/>
            <w:vAlign w:val="center"/>
          </w:tcPr>
          <w:p w14:paraId="6DEF11E1" w14:textId="1034D6CF" w:rsidR="005E6AAD" w:rsidRPr="00E64B0B" w:rsidRDefault="005E6AAD" w:rsidP="00AE7991">
            <w:pPr>
              <w:spacing w:after="0" w:line="240" w:lineRule="auto"/>
              <w:jc w:val="center"/>
              <w:rPr>
                <w:b/>
                <w:i/>
                <w:sz w:val="24"/>
              </w:rPr>
            </w:pPr>
            <w:r w:rsidRPr="00BD1EFF">
              <w:rPr>
                <w:b/>
                <w:sz w:val="24"/>
              </w:rPr>
              <w:t xml:space="preserve">What </w:t>
            </w:r>
            <w:r w:rsidR="00DF58C8">
              <w:rPr>
                <w:b/>
                <w:sz w:val="24"/>
              </w:rPr>
              <w:t xml:space="preserve">Partners &amp; </w:t>
            </w:r>
            <w:r w:rsidRPr="00BD1EFF">
              <w:rPr>
                <w:b/>
                <w:sz w:val="24"/>
              </w:rPr>
              <w:t>Stakeholders Say</w:t>
            </w:r>
            <w:r w:rsidR="00E64B0B">
              <w:rPr>
                <w:b/>
                <w:sz w:val="24"/>
              </w:rPr>
              <w:br/>
            </w:r>
            <w:r w:rsidR="00E64B0B" w:rsidRPr="00E64B0B">
              <w:rPr>
                <w:i/>
                <w:sz w:val="20"/>
              </w:rPr>
              <w:t>This may be filled in later in the planning process</w:t>
            </w:r>
          </w:p>
        </w:tc>
      </w:tr>
      <w:tr w:rsidR="005E6AAD" w14:paraId="366211A8" w14:textId="77777777" w:rsidTr="007478F7">
        <w:trPr>
          <w:trHeight w:val="395"/>
          <w:tblHeader/>
        </w:trPr>
        <w:tc>
          <w:tcPr>
            <w:tcW w:w="14377" w:type="dxa"/>
            <w:gridSpan w:val="3"/>
            <w:tcBorders>
              <w:left w:val="single" w:sz="18" w:space="0" w:color="auto"/>
              <w:bottom w:val="single" w:sz="18" w:space="0" w:color="auto"/>
              <w:right w:val="single" w:sz="18" w:space="0" w:color="auto"/>
            </w:tcBorders>
            <w:shd w:val="clear" w:color="auto" w:fill="00B0F0"/>
            <w:vAlign w:val="center"/>
          </w:tcPr>
          <w:p w14:paraId="69B741BE" w14:textId="77777777" w:rsidR="005E6AAD" w:rsidRPr="00BD1EFF" w:rsidRDefault="005E6AAD" w:rsidP="00AE7991">
            <w:pPr>
              <w:spacing w:after="0" w:line="240" w:lineRule="auto"/>
              <w:jc w:val="center"/>
              <w:rPr>
                <w:sz w:val="24"/>
              </w:rPr>
            </w:pPr>
            <w:r w:rsidRPr="00BD1EFF">
              <w:rPr>
                <w:b/>
                <w:sz w:val="24"/>
              </w:rPr>
              <w:t>PROGRAM QUALITY &amp; IMPLEMENTATION</w:t>
            </w:r>
          </w:p>
        </w:tc>
      </w:tr>
      <w:tr w:rsidR="005E6AAD" w14:paraId="1DA68A7D" w14:textId="77777777" w:rsidTr="007478F7">
        <w:trPr>
          <w:trHeight w:val="2088"/>
        </w:trPr>
        <w:tc>
          <w:tcPr>
            <w:tcW w:w="4546" w:type="dxa"/>
            <w:tcBorders>
              <w:top w:val="single" w:sz="18" w:space="0" w:color="auto"/>
              <w:left w:val="single" w:sz="18" w:space="0" w:color="auto"/>
              <w:bottom w:val="nil"/>
              <w:right w:val="single" w:sz="2" w:space="0" w:color="auto"/>
            </w:tcBorders>
          </w:tcPr>
          <w:p w14:paraId="6B4C28A1" w14:textId="5F5C3F4A" w:rsidR="005E6AAD" w:rsidRDefault="000702C8" w:rsidP="00AE7991">
            <w:pPr>
              <w:spacing w:after="0" w:line="240" w:lineRule="auto"/>
            </w:pPr>
            <w:r>
              <w:t xml:space="preserve">How are </w:t>
            </w:r>
            <w:r w:rsidR="00CF1B9E">
              <w:t xml:space="preserve">CTE </w:t>
            </w:r>
            <w:r>
              <w:t>programs or programs of study currently developed and approved (e.g., state</w:t>
            </w:r>
            <w:r w:rsidR="00BB0187">
              <w:t xml:space="preserve"> </w:t>
            </w:r>
            <w:r>
              <w:t>developed, locally developed/state</w:t>
            </w:r>
            <w:r w:rsidR="00BB0187">
              <w:t xml:space="preserve"> </w:t>
            </w:r>
            <w:r>
              <w:t>approved)</w:t>
            </w:r>
            <w:r w:rsidR="00CF1B9E">
              <w:t xml:space="preserve"> at the secondary and/or postsecondary level</w:t>
            </w:r>
            <w:r w:rsidR="00BB0187">
              <w:t>s</w:t>
            </w:r>
            <w:r>
              <w:t>?</w:t>
            </w:r>
          </w:p>
          <w:p w14:paraId="63BF9715" w14:textId="77777777" w:rsidR="00933E2E" w:rsidRDefault="00933E2E" w:rsidP="00AE7991">
            <w:pPr>
              <w:spacing w:after="0" w:line="240" w:lineRule="auto"/>
            </w:pPr>
          </w:p>
          <w:p w14:paraId="4813DE5D" w14:textId="6A0A1BC3" w:rsidR="00933E2E" w:rsidRPr="000702C8" w:rsidRDefault="00933E2E" w:rsidP="00AE7991">
            <w:pPr>
              <w:spacing w:after="0" w:line="240" w:lineRule="auto"/>
            </w:pPr>
            <w:r>
              <w:t xml:space="preserve">What is the review process for </w:t>
            </w:r>
            <w:r w:rsidR="00CF1B9E">
              <w:t xml:space="preserve">CTE </w:t>
            </w:r>
            <w:r>
              <w:t>programs or programs of study</w:t>
            </w:r>
            <w:r w:rsidR="00BB0187">
              <w:t>,</w:t>
            </w:r>
            <w:r>
              <w:t xml:space="preserve"> and how effective is it at promoting quality and equity?</w:t>
            </w:r>
          </w:p>
        </w:tc>
        <w:tc>
          <w:tcPr>
            <w:tcW w:w="4791" w:type="dxa"/>
            <w:tcBorders>
              <w:top w:val="single" w:sz="18" w:space="0" w:color="auto"/>
              <w:left w:val="single" w:sz="2" w:space="0" w:color="auto"/>
              <w:bottom w:val="nil"/>
              <w:right w:val="single" w:sz="2" w:space="0" w:color="auto"/>
            </w:tcBorders>
          </w:tcPr>
          <w:p w14:paraId="3D46788B" w14:textId="70F4EEFE" w:rsidR="005E6AAD" w:rsidRPr="00C07A95" w:rsidRDefault="00743A75" w:rsidP="00E64B0B">
            <w:pPr>
              <w:spacing w:after="0" w:line="240" w:lineRule="auto"/>
              <w:rPr>
                <w:i/>
              </w:rPr>
            </w:pPr>
            <w:r>
              <w:rPr>
                <w:i/>
              </w:rPr>
              <w:t xml:space="preserve">How </w:t>
            </w:r>
            <w:r w:rsidR="00933E2E">
              <w:rPr>
                <w:i/>
              </w:rPr>
              <w:t xml:space="preserve">can your state </w:t>
            </w:r>
            <w:r w:rsidR="00CF1B9E">
              <w:rPr>
                <w:i/>
              </w:rPr>
              <w:t xml:space="preserve">CTE </w:t>
            </w:r>
            <w:r w:rsidR="00933E2E">
              <w:rPr>
                <w:i/>
              </w:rPr>
              <w:t xml:space="preserve">program and program of study approval and review processes be strengthened to ensure </w:t>
            </w:r>
            <w:r w:rsidR="00BB0187">
              <w:rPr>
                <w:i/>
              </w:rPr>
              <w:t xml:space="preserve">that </w:t>
            </w:r>
            <w:r w:rsidR="00933E2E">
              <w:rPr>
                <w:i/>
              </w:rPr>
              <w:t xml:space="preserve">more consistent, high-quality programs of study </w:t>
            </w:r>
            <w:r w:rsidR="00E64B0B">
              <w:rPr>
                <w:i/>
              </w:rPr>
              <w:t>are</w:t>
            </w:r>
            <w:r w:rsidR="00933E2E">
              <w:rPr>
                <w:i/>
              </w:rPr>
              <w:t xml:space="preserve"> offered?</w:t>
            </w:r>
          </w:p>
        </w:tc>
        <w:tc>
          <w:tcPr>
            <w:tcW w:w="5040" w:type="dxa"/>
            <w:tcBorders>
              <w:top w:val="single" w:sz="18" w:space="0" w:color="auto"/>
              <w:left w:val="single" w:sz="2" w:space="0" w:color="auto"/>
              <w:bottom w:val="nil"/>
              <w:right w:val="single" w:sz="18" w:space="0" w:color="auto"/>
            </w:tcBorders>
          </w:tcPr>
          <w:p w14:paraId="538B2F68" w14:textId="77777777" w:rsidR="005E6AAD" w:rsidRDefault="005E6AAD" w:rsidP="00AE7991">
            <w:pPr>
              <w:spacing w:after="0" w:line="240" w:lineRule="auto"/>
            </w:pPr>
          </w:p>
        </w:tc>
      </w:tr>
      <w:tr w:rsidR="005E6AAD" w14:paraId="172B4141" w14:textId="77777777" w:rsidTr="007478F7">
        <w:trPr>
          <w:trHeight w:val="1673"/>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191BB1DB" w14:textId="77777777" w:rsidR="005E6AAD" w:rsidRPr="0048294B" w:rsidRDefault="005E6AAD"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5682ED3B" w14:textId="77777777" w:rsidR="005E6AAD" w:rsidRPr="00B25690" w:rsidRDefault="005E6AAD" w:rsidP="00AE7991">
            <w:pPr>
              <w:spacing w:after="0" w:line="240" w:lineRule="auto"/>
              <w:rPr>
                <w:b/>
                <w:i/>
              </w:rPr>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77D3E5FE" w14:textId="77777777" w:rsidR="005E6AAD" w:rsidRDefault="005E6AAD" w:rsidP="00AE7991">
            <w:pPr>
              <w:spacing w:after="0" w:line="240" w:lineRule="auto"/>
            </w:pPr>
          </w:p>
        </w:tc>
      </w:tr>
      <w:tr w:rsidR="00D0592C" w14:paraId="65FBED1A" w14:textId="77777777">
        <w:tc>
          <w:tcPr>
            <w:tcW w:w="4546" w:type="dxa"/>
            <w:tcBorders>
              <w:top w:val="single" w:sz="18" w:space="0" w:color="auto"/>
              <w:left w:val="single" w:sz="18" w:space="0" w:color="auto"/>
              <w:bottom w:val="nil"/>
              <w:right w:val="single" w:sz="2" w:space="0" w:color="auto"/>
            </w:tcBorders>
          </w:tcPr>
          <w:p w14:paraId="71731761" w14:textId="4E4685B3" w:rsidR="00D0592C" w:rsidRDefault="00E64B0B" w:rsidP="00AE7991">
            <w:pPr>
              <w:spacing w:after="0" w:line="240" w:lineRule="auto"/>
            </w:pPr>
            <w:r>
              <w:lastRenderedPageBreak/>
              <w:t>How do</w:t>
            </w:r>
            <w:r w:rsidR="00D0592C" w:rsidRPr="0048294B">
              <w:t xml:space="preserve"> the</w:t>
            </w:r>
            <w:r w:rsidR="00AF45ED">
              <w:t xml:space="preserve"> CTE</w:t>
            </w:r>
            <w:r w:rsidR="00D0592C" w:rsidRPr="0048294B">
              <w:t xml:space="preserve"> </w:t>
            </w:r>
            <w:r w:rsidR="00D0592C">
              <w:t>program</w:t>
            </w:r>
            <w:r w:rsidR="007478F7">
              <w:t xml:space="preserve"> and program of study</w:t>
            </w:r>
            <w:r w:rsidR="00D0592C">
              <w:t xml:space="preserve"> approval </w:t>
            </w:r>
            <w:r w:rsidR="00861AF6">
              <w:t xml:space="preserve">and review </w:t>
            </w:r>
            <w:r w:rsidR="00D0592C" w:rsidRPr="0048294B">
              <w:t>process</w:t>
            </w:r>
            <w:r>
              <w:t>es</w:t>
            </w:r>
            <w:r w:rsidR="00D0592C" w:rsidRPr="0048294B">
              <w:t xml:space="preserve"> </w:t>
            </w:r>
            <w:r w:rsidR="00D0592C">
              <w:t>currently</w:t>
            </w:r>
            <w:r w:rsidR="00B40FFA">
              <w:t xml:space="preserve"> </w:t>
            </w:r>
            <w:r w:rsidR="007478F7">
              <w:t>support alignment</w:t>
            </w:r>
            <w:r w:rsidR="0016405C">
              <w:t xml:space="preserve"> </w:t>
            </w:r>
            <w:r w:rsidR="00D0592C" w:rsidRPr="0048294B">
              <w:t xml:space="preserve">to </w:t>
            </w:r>
            <w:r w:rsidR="00D0592C">
              <w:t xml:space="preserve">high-wage, high-skill or </w:t>
            </w:r>
            <w:r w:rsidR="00D0592C" w:rsidRPr="0048294B">
              <w:t>in-demand industries and occupations</w:t>
            </w:r>
            <w:r w:rsidR="00D0592C">
              <w:t>?</w:t>
            </w:r>
          </w:p>
          <w:p w14:paraId="6754C9FD" w14:textId="77777777" w:rsidR="00D0592C" w:rsidRDefault="00D0592C" w:rsidP="00AE7991">
            <w:pPr>
              <w:spacing w:after="0" w:line="240" w:lineRule="auto"/>
            </w:pPr>
          </w:p>
          <w:p w14:paraId="3AD5E286" w14:textId="6368B217" w:rsidR="00D0592C" w:rsidRPr="00E64B0B" w:rsidRDefault="00D0592C" w:rsidP="00AE7991">
            <w:pPr>
              <w:spacing w:after="0" w:line="240" w:lineRule="auto"/>
            </w:pPr>
            <w:r>
              <w:t xml:space="preserve">How well do current </w:t>
            </w:r>
            <w:r w:rsidR="00AF45ED">
              <w:t>CTE</w:t>
            </w:r>
            <w:r w:rsidR="00AF45ED" w:rsidRPr="0048294B">
              <w:t xml:space="preserve"> </w:t>
            </w:r>
            <w:r>
              <w:t>programs and programs of study align with labor market demand, including emerging sectors?</w:t>
            </w:r>
          </w:p>
        </w:tc>
        <w:tc>
          <w:tcPr>
            <w:tcW w:w="4791" w:type="dxa"/>
            <w:tcBorders>
              <w:top w:val="single" w:sz="18" w:space="0" w:color="auto"/>
              <w:left w:val="single" w:sz="2" w:space="0" w:color="auto"/>
              <w:bottom w:val="nil"/>
              <w:right w:val="single" w:sz="2" w:space="0" w:color="auto"/>
            </w:tcBorders>
          </w:tcPr>
          <w:p w14:paraId="3A6012EF" w14:textId="1CEE3C7A" w:rsidR="00D0592C" w:rsidRPr="00C07A95" w:rsidRDefault="00D0592C" w:rsidP="00AE7991">
            <w:pPr>
              <w:spacing w:after="0" w:line="240" w:lineRule="auto"/>
              <w:rPr>
                <w:i/>
              </w:rPr>
            </w:pPr>
            <w:r w:rsidRPr="00B25690">
              <w:rPr>
                <w:b/>
                <w:i/>
              </w:rPr>
              <w:t>NOT</w:t>
            </w:r>
            <w:r w:rsidRPr="007963FA">
              <w:rPr>
                <w:b/>
                <w:i/>
              </w:rPr>
              <w:t>E</w:t>
            </w:r>
            <w:r w:rsidRPr="007478F7">
              <w:rPr>
                <w:b/>
                <w:i/>
              </w:rPr>
              <w:t>:</w:t>
            </w:r>
            <w:r w:rsidRPr="00B25690">
              <w:rPr>
                <w:i/>
              </w:rPr>
              <w:t xml:space="preserve"> Perkins V requires states to describe how the eligible agency will use labor market data to determine alignment of local programs of study to the needs of the state, regional or local economy. </w:t>
            </w:r>
            <w:r w:rsidR="00893B49">
              <w:rPr>
                <w:i/>
              </w:rPr>
              <w:t>Perkins V a</w:t>
            </w:r>
            <w:r w:rsidRPr="00B25690">
              <w:rPr>
                <w:i/>
              </w:rPr>
              <w:t xml:space="preserve">lso requires coordination with the </w:t>
            </w:r>
            <w:r w:rsidR="00BB0187">
              <w:rPr>
                <w:i/>
              </w:rPr>
              <w:t>s</w:t>
            </w:r>
            <w:r w:rsidR="00BB0187" w:rsidRPr="00B25690">
              <w:rPr>
                <w:i/>
              </w:rPr>
              <w:t xml:space="preserve">tate </w:t>
            </w:r>
            <w:r w:rsidRPr="00B25690">
              <w:rPr>
                <w:i/>
              </w:rPr>
              <w:t xml:space="preserve">workforce board to support the local development of career pathways, as appropriate.  </w:t>
            </w:r>
          </w:p>
        </w:tc>
        <w:tc>
          <w:tcPr>
            <w:tcW w:w="5040" w:type="dxa"/>
            <w:tcBorders>
              <w:top w:val="single" w:sz="18" w:space="0" w:color="auto"/>
              <w:left w:val="single" w:sz="2" w:space="0" w:color="auto"/>
              <w:bottom w:val="nil"/>
              <w:right w:val="single" w:sz="18" w:space="0" w:color="auto"/>
            </w:tcBorders>
          </w:tcPr>
          <w:p w14:paraId="12C33604" w14:textId="77777777" w:rsidR="00D0592C" w:rsidRDefault="00D0592C" w:rsidP="00AE7991">
            <w:pPr>
              <w:spacing w:after="0" w:line="240" w:lineRule="auto"/>
            </w:pPr>
          </w:p>
        </w:tc>
      </w:tr>
      <w:tr w:rsidR="005E6AAD" w14:paraId="237D42B5" w14:textId="77777777">
        <w:trPr>
          <w:trHeight w:val="1863"/>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0CC3DA63" w14:textId="77777777" w:rsidR="005E6AAD" w:rsidRPr="00A2526B" w:rsidRDefault="005E6AAD" w:rsidP="00AE7991">
            <w:pPr>
              <w:spacing w:after="0" w:line="240" w:lineRule="auto"/>
              <w:rPr>
                <w:highlight w:val="yellow"/>
              </w:rPr>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509DB692" w14:textId="77777777" w:rsidR="005E6AAD" w:rsidRDefault="005E6AAD"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4D71D821" w14:textId="77777777" w:rsidR="005E6AAD" w:rsidRDefault="005E6AAD" w:rsidP="00AE7991">
            <w:pPr>
              <w:spacing w:after="0" w:line="240" w:lineRule="auto"/>
            </w:pPr>
          </w:p>
        </w:tc>
      </w:tr>
      <w:tr w:rsidR="00D0592C" w14:paraId="6640648B" w14:textId="77777777" w:rsidTr="00AF45ED">
        <w:trPr>
          <w:trHeight w:val="2016"/>
        </w:trPr>
        <w:tc>
          <w:tcPr>
            <w:tcW w:w="4546" w:type="dxa"/>
            <w:tcBorders>
              <w:top w:val="single" w:sz="18" w:space="0" w:color="auto"/>
              <w:left w:val="single" w:sz="18" w:space="0" w:color="auto"/>
              <w:bottom w:val="nil"/>
              <w:right w:val="single" w:sz="2" w:space="0" w:color="auto"/>
            </w:tcBorders>
          </w:tcPr>
          <w:p w14:paraId="02787B7C" w14:textId="77777777" w:rsidR="007478F7" w:rsidRDefault="00D0592C" w:rsidP="00AE7991">
            <w:pPr>
              <w:spacing w:after="0" w:line="240" w:lineRule="auto"/>
            </w:pPr>
            <w:r w:rsidRPr="0048294B">
              <w:t xml:space="preserve">How </w:t>
            </w:r>
            <w:r w:rsidR="00F519A0">
              <w:t xml:space="preserve">well do current </w:t>
            </w:r>
            <w:r w:rsidR="00AF45ED">
              <w:t xml:space="preserve">CTE </w:t>
            </w:r>
            <w:r w:rsidR="00F519A0">
              <w:t xml:space="preserve">programs and programs of study </w:t>
            </w:r>
            <w:r>
              <w:t xml:space="preserve">support progression of learning from secondary (including middle school) through postsecondary? </w:t>
            </w:r>
          </w:p>
          <w:p w14:paraId="3FF7DF7D" w14:textId="77777777" w:rsidR="007478F7" w:rsidRDefault="007478F7" w:rsidP="00AE7991">
            <w:pPr>
              <w:spacing w:after="0" w:line="240" w:lineRule="auto"/>
            </w:pPr>
          </w:p>
          <w:p w14:paraId="774E1DF7" w14:textId="23458991" w:rsidR="00D0592C" w:rsidRDefault="00F519A0" w:rsidP="00AE7991">
            <w:pPr>
              <w:spacing w:after="0" w:line="240" w:lineRule="auto"/>
            </w:pPr>
            <w:r>
              <w:t>What role do state-developed or state-approved standards play in the quality of programs and programs of study?</w:t>
            </w:r>
          </w:p>
        </w:tc>
        <w:tc>
          <w:tcPr>
            <w:tcW w:w="4791" w:type="dxa"/>
            <w:tcBorders>
              <w:top w:val="single" w:sz="18" w:space="0" w:color="auto"/>
              <w:left w:val="single" w:sz="2" w:space="0" w:color="auto"/>
              <w:bottom w:val="nil"/>
              <w:right w:val="single" w:sz="2" w:space="0" w:color="auto"/>
            </w:tcBorders>
          </w:tcPr>
          <w:p w14:paraId="0AE07BB4" w14:textId="021E9FDA" w:rsidR="00D0592C" w:rsidRPr="00F519A0" w:rsidRDefault="00F519A0" w:rsidP="00AF45ED">
            <w:pPr>
              <w:spacing w:after="0" w:line="240" w:lineRule="auto"/>
              <w:rPr>
                <w:i/>
              </w:rPr>
            </w:pPr>
            <w:r w:rsidRPr="00F519A0">
              <w:rPr>
                <w:i/>
                <w:lang w:val="en-GB"/>
              </w:rPr>
              <w:t xml:space="preserve">Do your CTE standards </w:t>
            </w:r>
            <w:r w:rsidR="007963FA">
              <w:rPr>
                <w:i/>
                <w:lang w:val="en-GB"/>
              </w:rPr>
              <w:t>include</w:t>
            </w:r>
            <w:r w:rsidRPr="00F519A0">
              <w:rPr>
                <w:i/>
                <w:lang w:val="en-GB"/>
              </w:rPr>
              <w:t xml:space="preserve"> the full range of CTE expectations (e.g., transferable career-ready or employability skills, broader Career Cluster</w:t>
            </w:r>
            <w:r w:rsidR="00BB0187">
              <w:rPr>
                <w:i/>
                <w:lang w:val="en-GB"/>
              </w:rPr>
              <w:t>®</w:t>
            </w:r>
            <w:r w:rsidRPr="00F519A0">
              <w:rPr>
                <w:i/>
                <w:lang w:val="en-GB"/>
              </w:rPr>
              <w:t>-level skills, industry-specific skills and academic skills)? If not, where are the gaps?</w:t>
            </w:r>
            <w:r w:rsidR="0016405C">
              <w:rPr>
                <w:i/>
                <w:lang w:val="en-GB"/>
              </w:rPr>
              <w:t xml:space="preserve"> </w:t>
            </w:r>
          </w:p>
        </w:tc>
        <w:tc>
          <w:tcPr>
            <w:tcW w:w="5040" w:type="dxa"/>
            <w:tcBorders>
              <w:top w:val="single" w:sz="18" w:space="0" w:color="auto"/>
              <w:left w:val="single" w:sz="2" w:space="0" w:color="auto"/>
              <w:bottom w:val="nil"/>
              <w:right w:val="single" w:sz="18" w:space="0" w:color="auto"/>
            </w:tcBorders>
          </w:tcPr>
          <w:p w14:paraId="60F65C50" w14:textId="77777777" w:rsidR="00D0592C" w:rsidRDefault="00D0592C" w:rsidP="00AE7991">
            <w:pPr>
              <w:spacing w:after="0" w:line="240" w:lineRule="auto"/>
            </w:pPr>
          </w:p>
        </w:tc>
      </w:tr>
      <w:tr w:rsidR="00D0592C" w14:paraId="0E2F9AF8" w14:textId="77777777">
        <w:trPr>
          <w:trHeight w:val="1755"/>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4F5E0F86" w14:textId="77777777" w:rsidR="00D0592C" w:rsidRDefault="00D0592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66865827" w14:textId="77777777" w:rsidR="00D0592C" w:rsidRDefault="00D0592C"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4AF0AD27" w14:textId="77777777" w:rsidR="00D0592C" w:rsidRDefault="00D0592C" w:rsidP="00AE7991">
            <w:pPr>
              <w:spacing w:after="0" w:line="240" w:lineRule="auto"/>
            </w:pPr>
          </w:p>
        </w:tc>
      </w:tr>
      <w:tr w:rsidR="00D0592C" w14:paraId="67B71C6A" w14:textId="77777777">
        <w:trPr>
          <w:trHeight w:val="1430"/>
        </w:trPr>
        <w:tc>
          <w:tcPr>
            <w:tcW w:w="4546" w:type="dxa"/>
            <w:tcBorders>
              <w:top w:val="single" w:sz="18" w:space="0" w:color="auto"/>
              <w:left w:val="single" w:sz="18" w:space="0" w:color="auto"/>
              <w:bottom w:val="nil"/>
              <w:right w:val="single" w:sz="2" w:space="0" w:color="auto"/>
            </w:tcBorders>
            <w:shd w:val="clear" w:color="auto" w:fill="FFFFFF" w:themeFill="background1"/>
          </w:tcPr>
          <w:p w14:paraId="5358E1DA" w14:textId="1EE95F4E" w:rsidR="00D0592C" w:rsidRDefault="008F20C0" w:rsidP="00AE7991">
            <w:pPr>
              <w:spacing w:after="0" w:line="240" w:lineRule="auto"/>
            </w:pPr>
            <w:r>
              <w:t>How do</w:t>
            </w:r>
            <w:r w:rsidR="00D0592C" w:rsidRPr="0048294B">
              <w:t xml:space="preserve"> the</w:t>
            </w:r>
            <w:r w:rsidR="00AF45ED">
              <w:t xml:space="preserve"> CTE</w:t>
            </w:r>
            <w:r w:rsidR="00D0592C" w:rsidRPr="0048294B">
              <w:t xml:space="preserve"> </w:t>
            </w:r>
            <w:r w:rsidR="00D0592C">
              <w:t xml:space="preserve">program </w:t>
            </w:r>
            <w:r w:rsidR="007478F7">
              <w:t xml:space="preserve">and program of study </w:t>
            </w:r>
            <w:r w:rsidR="00D0592C">
              <w:t>approval</w:t>
            </w:r>
            <w:r w:rsidR="00933E2E">
              <w:t xml:space="preserve"> and review</w:t>
            </w:r>
            <w:r w:rsidR="00D0592C">
              <w:t xml:space="preserve"> </w:t>
            </w:r>
            <w:r w:rsidR="00D0592C" w:rsidRPr="0048294B">
              <w:t>process</w:t>
            </w:r>
            <w:r>
              <w:t>es</w:t>
            </w:r>
            <w:r w:rsidR="00D0592C" w:rsidRPr="0048294B">
              <w:t xml:space="preserve"> </w:t>
            </w:r>
            <w:r w:rsidR="00D0592C">
              <w:t xml:space="preserve">support seamless transitions to and within secondary (starting in middle school) </w:t>
            </w:r>
            <w:r w:rsidR="00BB0187">
              <w:t xml:space="preserve">and </w:t>
            </w:r>
            <w:r w:rsidR="0016405C">
              <w:t xml:space="preserve">to and within </w:t>
            </w:r>
            <w:r w:rsidR="00D0592C">
              <w:t>postsecondary education?</w:t>
            </w:r>
          </w:p>
          <w:p w14:paraId="13DD4629" w14:textId="77777777" w:rsidR="00D0592C" w:rsidRDefault="00D0592C" w:rsidP="00AE7991">
            <w:pPr>
              <w:spacing w:after="0" w:line="240" w:lineRule="auto"/>
            </w:pPr>
          </w:p>
        </w:tc>
        <w:tc>
          <w:tcPr>
            <w:tcW w:w="4791" w:type="dxa"/>
            <w:tcBorders>
              <w:top w:val="single" w:sz="18" w:space="0" w:color="auto"/>
              <w:left w:val="single" w:sz="2" w:space="0" w:color="auto"/>
              <w:bottom w:val="nil"/>
              <w:right w:val="single" w:sz="2" w:space="0" w:color="auto"/>
            </w:tcBorders>
            <w:shd w:val="clear" w:color="auto" w:fill="FFFFFF" w:themeFill="background1"/>
          </w:tcPr>
          <w:p w14:paraId="2AD93DD4" w14:textId="42B2326E" w:rsidR="00D0592C" w:rsidRDefault="00BB0187" w:rsidP="00AE7991">
            <w:pPr>
              <w:spacing w:after="0" w:line="240" w:lineRule="auto"/>
              <w:rPr>
                <w:i/>
              </w:rPr>
            </w:pPr>
            <w:r>
              <w:rPr>
                <w:i/>
              </w:rPr>
              <w:t>Do</w:t>
            </w:r>
            <w:r w:rsidR="00D0592C" w:rsidRPr="00D0592C">
              <w:rPr>
                <w:i/>
              </w:rPr>
              <w:t xml:space="preserve"> additional requirements, incentives or supports</w:t>
            </w:r>
            <w:r w:rsidR="00C41439" w:rsidRPr="00D0592C">
              <w:rPr>
                <w:i/>
              </w:rPr>
              <w:t>, such as dual/concurrent enrollment and credit transfer policies</w:t>
            </w:r>
            <w:r w:rsidR="00C41439">
              <w:rPr>
                <w:i/>
              </w:rPr>
              <w:t xml:space="preserve"> or consortia or other regional collaboration structures,</w:t>
            </w:r>
            <w:r w:rsidR="00D0592C" w:rsidRPr="00D0592C">
              <w:rPr>
                <w:i/>
              </w:rPr>
              <w:t xml:space="preserve"> need to be added or expanded to support more seamless programs</w:t>
            </w:r>
            <w:r w:rsidR="00C41439">
              <w:rPr>
                <w:i/>
              </w:rPr>
              <w:t xml:space="preserve"> and </w:t>
            </w:r>
            <w:r w:rsidR="00D0592C" w:rsidRPr="00D0592C">
              <w:rPr>
                <w:i/>
              </w:rPr>
              <w:t>programs of study?</w:t>
            </w:r>
          </w:p>
          <w:p w14:paraId="6B25CAED" w14:textId="088A0110" w:rsidR="00BA5408" w:rsidRPr="00AF45ED" w:rsidRDefault="00AF45ED" w:rsidP="00AE7991">
            <w:pPr>
              <w:spacing w:after="0" w:line="240" w:lineRule="auto"/>
              <w:rPr>
                <w:i/>
                <w:lang w:val="en-GB"/>
              </w:rPr>
            </w:pPr>
            <w:r w:rsidRPr="00AF45ED">
              <w:rPr>
                <w:b/>
                <w:i/>
                <w:lang w:val="en-GB"/>
              </w:rPr>
              <w:t>NOTE</w:t>
            </w:r>
            <w:r w:rsidRPr="007478F7">
              <w:rPr>
                <w:b/>
                <w:i/>
                <w:lang w:val="en-GB"/>
              </w:rPr>
              <w:t>:</w:t>
            </w:r>
            <w:r>
              <w:rPr>
                <w:i/>
                <w:lang w:val="en-GB"/>
              </w:rPr>
              <w:t xml:space="preserve"> Perkins V offers an updated definition of a </w:t>
            </w:r>
            <w:r w:rsidR="00C41439">
              <w:rPr>
                <w:i/>
                <w:lang w:val="en-GB"/>
              </w:rPr>
              <w:t>“</w:t>
            </w:r>
            <w:r>
              <w:rPr>
                <w:i/>
                <w:lang w:val="en-GB"/>
              </w:rPr>
              <w:t>program of study</w:t>
            </w:r>
            <w:r w:rsidR="00C41439">
              <w:rPr>
                <w:i/>
                <w:lang w:val="en-GB"/>
              </w:rPr>
              <w:t>”</w:t>
            </w:r>
            <w:r>
              <w:rPr>
                <w:i/>
                <w:lang w:val="en-GB"/>
              </w:rPr>
              <w:t xml:space="preserve"> that requires multiple entry and exit ramps. </w:t>
            </w:r>
          </w:p>
        </w:tc>
        <w:tc>
          <w:tcPr>
            <w:tcW w:w="5040" w:type="dxa"/>
            <w:tcBorders>
              <w:top w:val="single" w:sz="18" w:space="0" w:color="auto"/>
              <w:left w:val="single" w:sz="2" w:space="0" w:color="auto"/>
              <w:bottom w:val="nil"/>
              <w:right w:val="single" w:sz="18" w:space="0" w:color="auto"/>
            </w:tcBorders>
            <w:shd w:val="clear" w:color="auto" w:fill="FFFFFF" w:themeFill="background1"/>
          </w:tcPr>
          <w:p w14:paraId="23E6C8EE" w14:textId="77777777" w:rsidR="00D0592C" w:rsidRDefault="00D0592C" w:rsidP="00AE7991">
            <w:pPr>
              <w:spacing w:after="0" w:line="240" w:lineRule="auto"/>
            </w:pPr>
          </w:p>
        </w:tc>
      </w:tr>
      <w:tr w:rsidR="00D0592C" w14:paraId="6AA2FA34" w14:textId="77777777">
        <w:trPr>
          <w:trHeight w:val="2043"/>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76C9F30F" w14:textId="77777777" w:rsidR="00D0592C" w:rsidRDefault="00D0592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3C7E7D83" w14:textId="77777777" w:rsidR="00D0592C" w:rsidRDefault="00D0592C"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5BA1D631" w14:textId="77777777" w:rsidR="00D0592C" w:rsidRDefault="00D0592C" w:rsidP="00AE7991">
            <w:pPr>
              <w:spacing w:after="0" w:line="240" w:lineRule="auto"/>
            </w:pPr>
          </w:p>
        </w:tc>
      </w:tr>
      <w:tr w:rsidR="00D0592C" w14:paraId="23FB19A5" w14:textId="77777777">
        <w:trPr>
          <w:trHeight w:val="1827"/>
        </w:trPr>
        <w:tc>
          <w:tcPr>
            <w:tcW w:w="4546" w:type="dxa"/>
            <w:tcBorders>
              <w:top w:val="single" w:sz="18" w:space="0" w:color="auto"/>
              <w:left w:val="single" w:sz="18" w:space="0" w:color="auto"/>
              <w:bottom w:val="nil"/>
              <w:right w:val="single" w:sz="2" w:space="0" w:color="auto"/>
            </w:tcBorders>
          </w:tcPr>
          <w:p w14:paraId="09658605" w14:textId="31578AAC" w:rsidR="00D0592C" w:rsidRPr="0048294B" w:rsidRDefault="00D0592C" w:rsidP="0016405C">
            <w:pPr>
              <w:spacing w:after="0" w:line="240" w:lineRule="auto"/>
            </w:pPr>
            <w:r w:rsidRPr="0048294B">
              <w:t>What</w:t>
            </w:r>
            <w:r>
              <w:t xml:space="preserve"> statewide</w:t>
            </w:r>
            <w:r w:rsidRPr="0048294B">
              <w:t xml:space="preserve"> strategies </w:t>
            </w:r>
            <w:r>
              <w:t>currently support</w:t>
            </w:r>
            <w:r w:rsidRPr="0048294B">
              <w:t xml:space="preserve"> the recruitment and preparation of CTE </w:t>
            </w:r>
            <w:r w:rsidR="0016405C">
              <w:t>instructors</w:t>
            </w:r>
            <w:r w:rsidRPr="0048294B">
              <w:t xml:space="preserve"> and their professional development</w:t>
            </w:r>
            <w:r>
              <w:t xml:space="preserve">? How effective are </w:t>
            </w:r>
            <w:r w:rsidR="000D68E3">
              <w:t>these strategies</w:t>
            </w:r>
            <w:r>
              <w:t>?</w:t>
            </w:r>
          </w:p>
        </w:tc>
        <w:tc>
          <w:tcPr>
            <w:tcW w:w="4791" w:type="dxa"/>
            <w:tcBorders>
              <w:top w:val="single" w:sz="18" w:space="0" w:color="auto"/>
              <w:left w:val="single" w:sz="2" w:space="0" w:color="auto"/>
              <w:bottom w:val="nil"/>
              <w:right w:val="single" w:sz="2" w:space="0" w:color="auto"/>
            </w:tcBorders>
          </w:tcPr>
          <w:p w14:paraId="16D31B3A" w14:textId="794ABDB4" w:rsidR="00D0592C" w:rsidRPr="000702C8" w:rsidRDefault="000C011D" w:rsidP="00AE7991">
            <w:pPr>
              <w:spacing w:after="0" w:line="240" w:lineRule="auto"/>
              <w:rPr>
                <w:i/>
              </w:rPr>
            </w:pPr>
            <w:r w:rsidRPr="00FA46B5">
              <w:rPr>
                <w:i/>
              </w:rPr>
              <w:t xml:space="preserve">What </w:t>
            </w:r>
            <w:r>
              <w:rPr>
                <w:i/>
              </w:rPr>
              <w:t xml:space="preserve">strategies need to be sustained, discontinued or </w:t>
            </w:r>
            <w:r w:rsidRPr="00FA46B5">
              <w:rPr>
                <w:i/>
              </w:rPr>
              <w:t>added</w:t>
            </w:r>
            <w:r w:rsidRPr="000702C8">
              <w:rPr>
                <w:i/>
              </w:rPr>
              <w:t xml:space="preserve"> </w:t>
            </w:r>
            <w:r w:rsidR="00D0592C" w:rsidRPr="000702C8">
              <w:rPr>
                <w:i/>
              </w:rPr>
              <w:t xml:space="preserve">to support the recruitment and preparation of CTE </w:t>
            </w:r>
            <w:r w:rsidR="0016405C">
              <w:rPr>
                <w:i/>
              </w:rPr>
              <w:t>instructors</w:t>
            </w:r>
            <w:r w:rsidR="00D0592C" w:rsidRPr="000702C8">
              <w:rPr>
                <w:i/>
              </w:rPr>
              <w:t xml:space="preserve"> and their professional development?</w:t>
            </w:r>
          </w:p>
          <w:p w14:paraId="3BC83665" w14:textId="77777777" w:rsidR="00D0592C" w:rsidRDefault="00D0592C" w:rsidP="00AE7991">
            <w:pPr>
              <w:spacing w:after="0" w:line="240" w:lineRule="auto"/>
            </w:pPr>
          </w:p>
        </w:tc>
        <w:tc>
          <w:tcPr>
            <w:tcW w:w="5040" w:type="dxa"/>
            <w:tcBorders>
              <w:top w:val="single" w:sz="18" w:space="0" w:color="auto"/>
              <w:left w:val="single" w:sz="2" w:space="0" w:color="auto"/>
              <w:bottom w:val="nil"/>
              <w:right w:val="single" w:sz="18" w:space="0" w:color="auto"/>
            </w:tcBorders>
          </w:tcPr>
          <w:p w14:paraId="0ADB8E9F" w14:textId="77777777" w:rsidR="00D0592C" w:rsidRDefault="00D0592C" w:rsidP="00AE7991">
            <w:pPr>
              <w:spacing w:after="0" w:line="240" w:lineRule="auto"/>
            </w:pPr>
          </w:p>
        </w:tc>
      </w:tr>
      <w:tr w:rsidR="00D0592C" w14:paraId="491536A8" w14:textId="77777777" w:rsidTr="007478F7">
        <w:trPr>
          <w:trHeight w:val="2088"/>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73138509" w14:textId="77777777" w:rsidR="00D0592C" w:rsidRPr="0048294B" w:rsidRDefault="00D0592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4EE3B004" w14:textId="77777777" w:rsidR="00D0592C" w:rsidRDefault="00D0592C"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0FE46C23" w14:textId="77777777" w:rsidR="00D0592C" w:rsidRDefault="00D0592C" w:rsidP="00AE7991">
            <w:pPr>
              <w:spacing w:after="0" w:line="240" w:lineRule="auto"/>
            </w:pPr>
          </w:p>
        </w:tc>
      </w:tr>
      <w:tr w:rsidR="00D0592C" w14:paraId="52509660" w14:textId="77777777" w:rsidTr="007478F7">
        <w:tc>
          <w:tcPr>
            <w:tcW w:w="4546" w:type="dxa"/>
            <w:tcBorders>
              <w:top w:val="single" w:sz="18" w:space="0" w:color="auto"/>
              <w:left w:val="single" w:sz="18" w:space="0" w:color="auto"/>
              <w:bottom w:val="nil"/>
              <w:right w:val="single" w:sz="2" w:space="0" w:color="auto"/>
            </w:tcBorders>
          </w:tcPr>
          <w:p w14:paraId="4DDEB0DC" w14:textId="066FA362" w:rsidR="00D0592C" w:rsidRPr="00D0260D" w:rsidRDefault="00D0592C" w:rsidP="00AE7991">
            <w:pPr>
              <w:spacing w:after="0" w:line="240" w:lineRule="auto"/>
            </w:pPr>
            <w:r w:rsidRPr="00D0260D">
              <w:t>What statewide strategies and activities currently support career and academic counseling</w:t>
            </w:r>
            <w:r w:rsidR="00D0260D">
              <w:t xml:space="preserve"> and advisement</w:t>
            </w:r>
            <w:r w:rsidRPr="00D0260D">
              <w:t>? How effective are the</w:t>
            </w:r>
            <w:r w:rsidR="000D68E3">
              <w:t>se strategies and activities</w:t>
            </w:r>
            <w:r w:rsidRPr="00D0260D">
              <w:t>?</w:t>
            </w:r>
          </w:p>
        </w:tc>
        <w:tc>
          <w:tcPr>
            <w:tcW w:w="4791" w:type="dxa"/>
            <w:tcBorders>
              <w:top w:val="single" w:sz="18" w:space="0" w:color="auto"/>
              <w:left w:val="single" w:sz="2" w:space="0" w:color="auto"/>
              <w:bottom w:val="nil"/>
              <w:right w:val="single" w:sz="2" w:space="0" w:color="auto"/>
            </w:tcBorders>
          </w:tcPr>
          <w:p w14:paraId="7333BBFD" w14:textId="195F9233" w:rsidR="00D0592C" w:rsidRPr="000702C8" w:rsidRDefault="000C011D" w:rsidP="00AE7991">
            <w:pPr>
              <w:spacing w:after="0" w:line="240" w:lineRule="auto"/>
              <w:rPr>
                <w:i/>
              </w:rPr>
            </w:pPr>
            <w:r w:rsidRPr="00FA46B5">
              <w:rPr>
                <w:i/>
              </w:rPr>
              <w:t xml:space="preserve">What </w:t>
            </w:r>
            <w:r>
              <w:rPr>
                <w:i/>
              </w:rPr>
              <w:t xml:space="preserve">strategies need to be sustained, discontinued or </w:t>
            </w:r>
            <w:r w:rsidRPr="00FA46B5">
              <w:rPr>
                <w:i/>
              </w:rPr>
              <w:t>added</w:t>
            </w:r>
            <w:r w:rsidRPr="000702C8">
              <w:rPr>
                <w:i/>
              </w:rPr>
              <w:t xml:space="preserve"> </w:t>
            </w:r>
            <w:r w:rsidR="00D0592C" w:rsidRPr="000702C8">
              <w:rPr>
                <w:i/>
              </w:rPr>
              <w:t>to support career and academic counseling</w:t>
            </w:r>
            <w:r w:rsidR="00D0260D">
              <w:rPr>
                <w:i/>
              </w:rPr>
              <w:t xml:space="preserve"> and advisement</w:t>
            </w:r>
            <w:r w:rsidR="00D0592C" w:rsidRPr="000702C8">
              <w:rPr>
                <w:i/>
              </w:rPr>
              <w:t>?</w:t>
            </w:r>
            <w:r w:rsidR="00AF45ED">
              <w:rPr>
                <w:i/>
              </w:rPr>
              <w:t xml:space="preserve"> Is any </w:t>
            </w:r>
            <w:r w:rsidR="000D68E3">
              <w:rPr>
                <w:i/>
              </w:rPr>
              <w:t xml:space="preserve">expansion </w:t>
            </w:r>
            <w:r w:rsidR="00AF45ED">
              <w:rPr>
                <w:i/>
              </w:rPr>
              <w:t>necessary to support CTE in the middle grades?</w:t>
            </w:r>
          </w:p>
          <w:p w14:paraId="22BFD179" w14:textId="77777777" w:rsidR="00D0592C" w:rsidRDefault="00D0592C" w:rsidP="00AE7991">
            <w:pPr>
              <w:spacing w:after="0" w:line="240" w:lineRule="auto"/>
            </w:pPr>
          </w:p>
          <w:p w14:paraId="33D3CC79" w14:textId="77777777" w:rsidR="00D0592C" w:rsidRDefault="00D0592C" w:rsidP="00AE7991">
            <w:pPr>
              <w:spacing w:after="0" w:line="240" w:lineRule="auto"/>
            </w:pPr>
          </w:p>
        </w:tc>
        <w:tc>
          <w:tcPr>
            <w:tcW w:w="5040" w:type="dxa"/>
            <w:tcBorders>
              <w:top w:val="single" w:sz="18" w:space="0" w:color="auto"/>
              <w:left w:val="single" w:sz="2" w:space="0" w:color="auto"/>
              <w:bottom w:val="nil"/>
              <w:right w:val="single" w:sz="18" w:space="0" w:color="auto"/>
            </w:tcBorders>
          </w:tcPr>
          <w:p w14:paraId="5F581CAA" w14:textId="77777777" w:rsidR="00D0592C" w:rsidRDefault="00D0592C" w:rsidP="00AE7991">
            <w:pPr>
              <w:spacing w:after="0" w:line="240" w:lineRule="auto"/>
            </w:pPr>
          </w:p>
        </w:tc>
      </w:tr>
      <w:tr w:rsidR="00D0592C" w14:paraId="2E05A9A8" w14:textId="77777777" w:rsidTr="007478F7">
        <w:trPr>
          <w:trHeight w:val="1592"/>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78A5BAF0" w14:textId="77777777" w:rsidR="00D0592C" w:rsidRPr="0048294B" w:rsidRDefault="00D0592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09016FC5" w14:textId="77777777" w:rsidR="00D0592C" w:rsidRDefault="00D0592C"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17297F4F" w14:textId="77777777" w:rsidR="00D0592C" w:rsidRDefault="00D0592C" w:rsidP="00AE7991">
            <w:pPr>
              <w:spacing w:after="0" w:line="240" w:lineRule="auto"/>
            </w:pPr>
          </w:p>
        </w:tc>
      </w:tr>
      <w:tr w:rsidR="00D0592C" w14:paraId="67C3D5FD" w14:textId="77777777">
        <w:tc>
          <w:tcPr>
            <w:tcW w:w="4546" w:type="dxa"/>
            <w:tcBorders>
              <w:top w:val="single" w:sz="18" w:space="0" w:color="auto"/>
              <w:left w:val="single" w:sz="18" w:space="0" w:color="auto"/>
              <w:bottom w:val="nil"/>
              <w:right w:val="single" w:sz="2" w:space="0" w:color="auto"/>
            </w:tcBorders>
          </w:tcPr>
          <w:p w14:paraId="2A4A4F19" w14:textId="3DBB3A45" w:rsidR="00D0592C" w:rsidRDefault="00D0592C" w:rsidP="00AE7991">
            <w:pPr>
              <w:spacing w:after="0" w:line="240" w:lineRule="auto"/>
            </w:pPr>
            <w:r w:rsidRPr="0048294B">
              <w:t>What statewide strategies and activities</w:t>
            </w:r>
            <w:r>
              <w:t xml:space="preserve"> currently </w:t>
            </w:r>
            <w:r w:rsidRPr="0048294B">
              <w:t xml:space="preserve">support </w:t>
            </w:r>
            <w:r>
              <w:t>work-based learning? How effective are the</w:t>
            </w:r>
            <w:r w:rsidR="000D68E3">
              <w:t>se strategies and activities</w:t>
            </w:r>
            <w:r>
              <w:t>?</w:t>
            </w:r>
          </w:p>
          <w:p w14:paraId="7FC94D57" w14:textId="77777777" w:rsidR="00D0592C" w:rsidRDefault="00D0592C" w:rsidP="00AE7991">
            <w:pPr>
              <w:spacing w:after="0" w:line="240" w:lineRule="auto"/>
            </w:pPr>
          </w:p>
          <w:p w14:paraId="68A90BF2" w14:textId="77777777" w:rsidR="00D0592C" w:rsidRPr="00B25690" w:rsidRDefault="00D0592C" w:rsidP="00AE7991">
            <w:pPr>
              <w:spacing w:after="0" w:line="240" w:lineRule="auto"/>
              <w:rPr>
                <w:i/>
              </w:rPr>
            </w:pPr>
          </w:p>
        </w:tc>
        <w:tc>
          <w:tcPr>
            <w:tcW w:w="4791" w:type="dxa"/>
            <w:tcBorders>
              <w:top w:val="single" w:sz="18" w:space="0" w:color="auto"/>
              <w:left w:val="single" w:sz="2" w:space="0" w:color="auto"/>
              <w:bottom w:val="nil"/>
              <w:right w:val="single" w:sz="2" w:space="0" w:color="auto"/>
            </w:tcBorders>
          </w:tcPr>
          <w:p w14:paraId="383C412B" w14:textId="6A0A5F67" w:rsidR="008F20C0" w:rsidRDefault="000C011D" w:rsidP="008F20C0">
            <w:pPr>
              <w:spacing w:after="0" w:line="240" w:lineRule="auto"/>
              <w:rPr>
                <w:i/>
              </w:rPr>
            </w:pPr>
            <w:r w:rsidRPr="00FA46B5">
              <w:rPr>
                <w:i/>
              </w:rPr>
              <w:t xml:space="preserve">What </w:t>
            </w:r>
            <w:r>
              <w:rPr>
                <w:i/>
              </w:rPr>
              <w:t xml:space="preserve">strategies need to be sustained, discontinued or </w:t>
            </w:r>
            <w:r w:rsidRPr="00FA46B5">
              <w:rPr>
                <w:i/>
              </w:rPr>
              <w:t>added</w:t>
            </w:r>
            <w:r>
              <w:rPr>
                <w:i/>
              </w:rPr>
              <w:t xml:space="preserve"> </w:t>
            </w:r>
            <w:r w:rsidR="00813A87">
              <w:rPr>
                <w:i/>
              </w:rPr>
              <w:t xml:space="preserve">to support work-based learning and other experiential learning opportunities? </w:t>
            </w:r>
            <w:r w:rsidR="008F20C0">
              <w:rPr>
                <w:i/>
              </w:rPr>
              <w:t xml:space="preserve"> </w:t>
            </w:r>
          </w:p>
          <w:p w14:paraId="7A9CEAEE" w14:textId="4FF91B31" w:rsidR="00D0592C" w:rsidRPr="00D0592C" w:rsidRDefault="00D0592C" w:rsidP="008F20C0">
            <w:pPr>
              <w:spacing w:after="0" w:line="240" w:lineRule="auto"/>
              <w:rPr>
                <w:i/>
              </w:rPr>
            </w:pPr>
            <w:r w:rsidRPr="00B25690">
              <w:rPr>
                <w:b/>
                <w:i/>
              </w:rPr>
              <w:t xml:space="preserve">NOTE: </w:t>
            </w:r>
            <w:r w:rsidRPr="00B25690">
              <w:rPr>
                <w:i/>
              </w:rPr>
              <w:t xml:space="preserve">Perkins V defines </w:t>
            </w:r>
            <w:r w:rsidR="000D68E3">
              <w:rPr>
                <w:i/>
              </w:rPr>
              <w:t>“</w:t>
            </w:r>
            <w:r w:rsidRPr="00B25690">
              <w:rPr>
                <w:i/>
              </w:rPr>
              <w:t>work-based learning</w:t>
            </w:r>
            <w:r w:rsidR="000D68E3">
              <w:rPr>
                <w:i/>
              </w:rPr>
              <w:t>”</w:t>
            </w:r>
            <w:r w:rsidRPr="00B25690">
              <w:rPr>
                <w:i/>
              </w:rPr>
              <w:t xml:space="preserve"> as sustained interactions with industry or community professionals in real workplace settings, to the extent practicable, or simulated environments at an educational institution that foster in-depth, first-hand engagement with the tasks required of a given career field, that are aligned to curriculum and instruction.</w:t>
            </w:r>
          </w:p>
        </w:tc>
        <w:tc>
          <w:tcPr>
            <w:tcW w:w="5040" w:type="dxa"/>
            <w:tcBorders>
              <w:top w:val="single" w:sz="18" w:space="0" w:color="auto"/>
              <w:left w:val="single" w:sz="2" w:space="0" w:color="auto"/>
              <w:bottom w:val="nil"/>
              <w:right w:val="single" w:sz="18" w:space="0" w:color="auto"/>
            </w:tcBorders>
          </w:tcPr>
          <w:p w14:paraId="70EDA445" w14:textId="77777777" w:rsidR="00D0592C" w:rsidRDefault="00D0592C" w:rsidP="00AE7991">
            <w:pPr>
              <w:spacing w:after="0" w:line="240" w:lineRule="auto"/>
            </w:pPr>
          </w:p>
        </w:tc>
      </w:tr>
      <w:tr w:rsidR="00D0592C" w14:paraId="56ED8883" w14:textId="77777777" w:rsidTr="007478F7">
        <w:trPr>
          <w:trHeight w:val="1845"/>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5EF52C8A" w14:textId="77777777" w:rsidR="00D0592C" w:rsidRPr="0048294B" w:rsidRDefault="00D0592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7EBA9DF8" w14:textId="77777777" w:rsidR="00D0592C" w:rsidRPr="00B25690" w:rsidRDefault="00D0592C" w:rsidP="00AE7991">
            <w:pPr>
              <w:spacing w:after="0" w:line="240" w:lineRule="auto"/>
              <w:rPr>
                <w:b/>
                <w:i/>
              </w:rPr>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584B2C40" w14:textId="77777777" w:rsidR="00D0592C" w:rsidRDefault="00D0592C" w:rsidP="00AE7991">
            <w:pPr>
              <w:spacing w:after="0" w:line="240" w:lineRule="auto"/>
            </w:pPr>
          </w:p>
        </w:tc>
      </w:tr>
      <w:tr w:rsidR="00F519A0" w14:paraId="6F656865" w14:textId="77777777" w:rsidTr="007478F7">
        <w:trPr>
          <w:trHeight w:val="1287"/>
        </w:trPr>
        <w:tc>
          <w:tcPr>
            <w:tcW w:w="4546" w:type="dxa"/>
            <w:tcBorders>
              <w:top w:val="single" w:sz="18" w:space="0" w:color="auto"/>
              <w:left w:val="single" w:sz="18" w:space="0" w:color="auto"/>
              <w:bottom w:val="nil"/>
              <w:right w:val="single" w:sz="2" w:space="0" w:color="auto"/>
            </w:tcBorders>
          </w:tcPr>
          <w:p w14:paraId="719AEDB1" w14:textId="5BCDCD1B" w:rsidR="00F519A0" w:rsidRPr="00AF45ED" w:rsidRDefault="00AF45ED" w:rsidP="00AF45ED">
            <w:pPr>
              <w:spacing w:after="0" w:line="240" w:lineRule="auto"/>
              <w:rPr>
                <w:i/>
              </w:rPr>
            </w:pPr>
            <w:r>
              <w:t>I</w:t>
            </w:r>
            <w:r w:rsidR="007478F7">
              <w:t>f applicable</w:t>
            </w:r>
            <w:r>
              <w:t>, h</w:t>
            </w:r>
            <w:r w:rsidR="00F519A0" w:rsidRPr="0048294B">
              <w:t xml:space="preserve">ow is the </w:t>
            </w:r>
            <w:r w:rsidR="00F519A0">
              <w:t>a</w:t>
            </w:r>
            <w:r w:rsidR="00F519A0" w:rsidRPr="0048294B">
              <w:t>dult postsecondary CTE system organized and delivered?</w:t>
            </w:r>
            <w:r>
              <w:t xml:space="preserve"> </w:t>
            </w:r>
          </w:p>
        </w:tc>
        <w:tc>
          <w:tcPr>
            <w:tcW w:w="4791" w:type="dxa"/>
            <w:tcBorders>
              <w:top w:val="single" w:sz="18" w:space="0" w:color="auto"/>
              <w:left w:val="single" w:sz="2" w:space="0" w:color="auto"/>
              <w:bottom w:val="nil"/>
              <w:right w:val="single" w:sz="2" w:space="0" w:color="auto"/>
            </w:tcBorders>
          </w:tcPr>
          <w:p w14:paraId="5F9D92EA" w14:textId="77777777" w:rsidR="00F519A0" w:rsidRPr="00D0260D" w:rsidRDefault="00D0260D" w:rsidP="00AE7991">
            <w:pPr>
              <w:spacing w:after="0" w:line="240" w:lineRule="auto"/>
              <w:rPr>
                <w:i/>
              </w:rPr>
            </w:pPr>
            <w:r w:rsidRPr="00D0260D">
              <w:rPr>
                <w:i/>
              </w:rPr>
              <w:t xml:space="preserve">How well </w:t>
            </w:r>
            <w:r w:rsidR="00893B49">
              <w:rPr>
                <w:i/>
              </w:rPr>
              <w:t>are</w:t>
            </w:r>
            <w:r w:rsidRPr="00D0260D">
              <w:rPr>
                <w:i/>
              </w:rPr>
              <w:t xml:space="preserve"> adult postsecondary CTE programs coordinated and aligned with the rest of the CTE </w:t>
            </w:r>
            <w:r w:rsidR="007C2C76">
              <w:rPr>
                <w:i/>
              </w:rPr>
              <w:t xml:space="preserve">and WIOA/workforce development </w:t>
            </w:r>
            <w:r w:rsidRPr="00D0260D">
              <w:rPr>
                <w:i/>
              </w:rPr>
              <w:t>system</w:t>
            </w:r>
            <w:r w:rsidR="007C2C76">
              <w:rPr>
                <w:i/>
              </w:rPr>
              <w:t>s</w:t>
            </w:r>
            <w:r w:rsidRPr="00D0260D">
              <w:rPr>
                <w:i/>
              </w:rPr>
              <w:t xml:space="preserve">? </w:t>
            </w:r>
          </w:p>
        </w:tc>
        <w:tc>
          <w:tcPr>
            <w:tcW w:w="5040" w:type="dxa"/>
            <w:tcBorders>
              <w:top w:val="single" w:sz="18" w:space="0" w:color="auto"/>
              <w:left w:val="single" w:sz="2" w:space="0" w:color="auto"/>
              <w:bottom w:val="nil"/>
              <w:right w:val="single" w:sz="18" w:space="0" w:color="auto"/>
            </w:tcBorders>
          </w:tcPr>
          <w:p w14:paraId="3B19FF56" w14:textId="77777777" w:rsidR="00F519A0" w:rsidRDefault="00F519A0" w:rsidP="00AE7991">
            <w:pPr>
              <w:spacing w:after="0" w:line="240" w:lineRule="auto"/>
            </w:pPr>
          </w:p>
        </w:tc>
      </w:tr>
      <w:tr w:rsidR="00F519A0" w14:paraId="2EE3FEB1" w14:textId="77777777" w:rsidTr="007478F7">
        <w:trPr>
          <w:trHeight w:val="2258"/>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2062E8F3" w14:textId="77777777" w:rsidR="00F519A0" w:rsidRPr="0048294B" w:rsidRDefault="00F519A0"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0D8F684E" w14:textId="77777777" w:rsidR="00F519A0" w:rsidRDefault="00F519A0" w:rsidP="00AE7991">
            <w:pPr>
              <w:spacing w:after="0" w:line="240" w:lineRule="auto"/>
            </w:pPr>
          </w:p>
        </w:tc>
        <w:tc>
          <w:tcPr>
            <w:tcW w:w="5040" w:type="dxa"/>
            <w:tcBorders>
              <w:top w:val="nil"/>
              <w:left w:val="single" w:sz="2" w:space="0" w:color="auto"/>
              <w:bottom w:val="single" w:sz="18" w:space="0" w:color="auto"/>
              <w:right w:val="single" w:sz="18" w:space="0" w:color="auto"/>
            </w:tcBorders>
            <w:shd w:val="clear" w:color="auto" w:fill="D9D9D9" w:themeFill="background1" w:themeFillShade="D9"/>
          </w:tcPr>
          <w:p w14:paraId="51A12A63" w14:textId="77777777" w:rsidR="00F519A0" w:rsidRDefault="00F519A0" w:rsidP="00AE7991">
            <w:pPr>
              <w:spacing w:after="0" w:line="240" w:lineRule="auto"/>
            </w:pPr>
          </w:p>
        </w:tc>
      </w:tr>
    </w:tbl>
    <w:p w14:paraId="7BAEA743" w14:textId="77777777" w:rsidR="005E6AAD" w:rsidRDefault="005E6AAD" w:rsidP="00AE7991">
      <w:pPr>
        <w:spacing w:after="0" w:line="240" w:lineRule="auto"/>
      </w:pPr>
    </w:p>
    <w:p w14:paraId="7653A2CF" w14:textId="77777777" w:rsidR="003807F6" w:rsidRDefault="003807F6" w:rsidP="00AE7991">
      <w:pPr>
        <w:spacing w:after="0" w:line="240" w:lineRule="auto"/>
      </w:pPr>
    </w:p>
    <w:p w14:paraId="0199C794" w14:textId="77777777" w:rsidR="003807F6" w:rsidRDefault="003807F6" w:rsidP="00AE7991">
      <w:pPr>
        <w:spacing w:after="0" w:line="240" w:lineRule="auto"/>
      </w:pPr>
    </w:p>
    <w:p w14:paraId="038A2D4B" w14:textId="77777777" w:rsidR="003807F6" w:rsidRDefault="003807F6" w:rsidP="00AE7991">
      <w:pPr>
        <w:spacing w:after="0" w:line="240" w:lineRule="auto"/>
      </w:pPr>
    </w:p>
    <w:p w14:paraId="66F85662" w14:textId="77777777" w:rsidR="00BA5408" w:rsidRDefault="00726F06" w:rsidP="00AE7991">
      <w:pPr>
        <w:pStyle w:val="Heading3"/>
        <w:spacing w:line="240" w:lineRule="auto"/>
        <w:rPr>
          <w:color w:val="FFFFFF" w:themeColor="background1"/>
        </w:rPr>
      </w:pPr>
      <w:r w:rsidRPr="00A45F2A">
        <w:rPr>
          <w:color w:val="FFFFFF" w:themeColor="background1"/>
        </w:rPr>
        <w:t>D</w:t>
      </w:r>
    </w:p>
    <w:p w14:paraId="6016E585" w14:textId="77777777" w:rsidR="00BA5408" w:rsidRDefault="00BA5408">
      <w:pPr>
        <w:spacing w:after="0" w:line="240" w:lineRule="auto"/>
        <w:rPr>
          <w:rFonts w:asciiTheme="majorHAnsi" w:eastAsiaTheme="majorEastAsia" w:hAnsiTheme="majorHAnsi" w:cstheme="majorBidi"/>
          <w:color w:val="FFFFFF" w:themeColor="background1"/>
          <w:sz w:val="24"/>
          <w:szCs w:val="24"/>
        </w:rPr>
      </w:pPr>
      <w:r>
        <w:rPr>
          <w:color w:val="FFFFFF" w:themeColor="background1"/>
        </w:rPr>
        <w:br w:type="page"/>
      </w:r>
    </w:p>
    <w:p w14:paraId="696FF9D4" w14:textId="23A16464" w:rsidR="003807F6" w:rsidRPr="007478F7" w:rsidRDefault="003807F6" w:rsidP="00AE7991">
      <w:pPr>
        <w:pStyle w:val="Heading3"/>
        <w:spacing w:line="240" w:lineRule="auto"/>
        <w:rPr>
          <w:color w:val="FF0000"/>
        </w:rPr>
      </w:pPr>
    </w:p>
    <w:tbl>
      <w:tblPr>
        <w:tblStyle w:val="TableGrid"/>
        <w:tblW w:w="14449" w:type="dxa"/>
        <w:tblInd w:w="18" w:type="dxa"/>
        <w:tblBorders>
          <w:top w:val="single" w:sz="18" w:space="0" w:color="auto"/>
          <w:left w:val="single" w:sz="18" w:space="0" w:color="auto"/>
          <w:bottom w:val="single" w:sz="18" w:space="0" w:color="auto"/>
          <w:right w:val="single" w:sz="18" w:space="0" w:color="auto"/>
          <w:insideH w:val="none" w:sz="0" w:space="0" w:color="auto"/>
          <w:insideV w:val="single" w:sz="2" w:space="0" w:color="auto"/>
        </w:tblBorders>
        <w:tblLook w:val="04A0" w:firstRow="1" w:lastRow="0" w:firstColumn="1" w:lastColumn="0" w:noHBand="0" w:noVBand="1"/>
      </w:tblPr>
      <w:tblGrid>
        <w:gridCol w:w="4546"/>
        <w:gridCol w:w="4773"/>
        <w:gridCol w:w="5130"/>
      </w:tblGrid>
      <w:tr w:rsidR="00D0260D" w14:paraId="76A562AC" w14:textId="77777777">
        <w:trPr>
          <w:trHeight w:val="548"/>
          <w:tblHeader/>
        </w:trPr>
        <w:tc>
          <w:tcPr>
            <w:tcW w:w="4546" w:type="dxa"/>
            <w:tcBorders>
              <w:top w:val="single" w:sz="18" w:space="0" w:color="auto"/>
              <w:bottom w:val="single" w:sz="18" w:space="0" w:color="auto"/>
              <w:right w:val="nil"/>
            </w:tcBorders>
            <w:shd w:val="clear" w:color="auto" w:fill="002060"/>
            <w:vAlign w:val="center"/>
          </w:tcPr>
          <w:p w14:paraId="07D0240B" w14:textId="10302602" w:rsidR="00D0260D" w:rsidRPr="00BD1EFF" w:rsidRDefault="00D0260D" w:rsidP="00AE7991">
            <w:pPr>
              <w:spacing w:after="0" w:line="240" w:lineRule="auto"/>
              <w:jc w:val="center"/>
              <w:rPr>
                <w:b/>
                <w:sz w:val="24"/>
              </w:rPr>
            </w:pPr>
            <w:r w:rsidRPr="00BD1EFF">
              <w:rPr>
                <w:b/>
                <w:sz w:val="24"/>
              </w:rPr>
              <w:t xml:space="preserve">Reflect on </w:t>
            </w:r>
            <w:r w:rsidR="00784178">
              <w:rPr>
                <w:b/>
                <w:sz w:val="24"/>
              </w:rPr>
              <w:t>Y</w:t>
            </w:r>
            <w:r w:rsidR="00784178" w:rsidRPr="00BD1EFF">
              <w:rPr>
                <w:b/>
                <w:sz w:val="24"/>
              </w:rPr>
              <w:t xml:space="preserve">our </w:t>
            </w:r>
            <w:r w:rsidRPr="00BD1EFF">
              <w:rPr>
                <w:b/>
                <w:sz w:val="24"/>
              </w:rPr>
              <w:t xml:space="preserve">Current </w:t>
            </w:r>
            <w:r w:rsidR="00784178">
              <w:rPr>
                <w:b/>
                <w:sz w:val="24"/>
              </w:rPr>
              <w:t>S</w:t>
            </w:r>
            <w:r w:rsidR="00784178" w:rsidRPr="00BD1EFF">
              <w:rPr>
                <w:b/>
                <w:sz w:val="24"/>
              </w:rPr>
              <w:t>ystem</w:t>
            </w:r>
          </w:p>
        </w:tc>
        <w:tc>
          <w:tcPr>
            <w:tcW w:w="4773" w:type="dxa"/>
            <w:tcBorders>
              <w:top w:val="single" w:sz="18" w:space="0" w:color="auto"/>
              <w:left w:val="nil"/>
              <w:bottom w:val="single" w:sz="18" w:space="0" w:color="auto"/>
              <w:right w:val="nil"/>
            </w:tcBorders>
            <w:shd w:val="clear" w:color="auto" w:fill="002060"/>
            <w:vAlign w:val="center"/>
          </w:tcPr>
          <w:p w14:paraId="57036E4C" w14:textId="77777777" w:rsidR="00D0260D" w:rsidRPr="00BD1EFF" w:rsidRDefault="00D0260D" w:rsidP="00AE7991">
            <w:pPr>
              <w:spacing w:after="0" w:line="240" w:lineRule="auto"/>
              <w:jc w:val="center"/>
              <w:rPr>
                <w:b/>
                <w:sz w:val="24"/>
              </w:rPr>
            </w:pPr>
            <w:r w:rsidRPr="00BD1EFF">
              <w:rPr>
                <w:b/>
                <w:sz w:val="24"/>
              </w:rPr>
              <w:t>Look Forward</w:t>
            </w:r>
          </w:p>
        </w:tc>
        <w:tc>
          <w:tcPr>
            <w:tcW w:w="5130" w:type="dxa"/>
            <w:tcBorders>
              <w:top w:val="single" w:sz="18" w:space="0" w:color="auto"/>
              <w:left w:val="nil"/>
              <w:bottom w:val="single" w:sz="18" w:space="0" w:color="auto"/>
            </w:tcBorders>
            <w:shd w:val="clear" w:color="auto" w:fill="002060"/>
            <w:vAlign w:val="center"/>
          </w:tcPr>
          <w:p w14:paraId="39AB2B35" w14:textId="01950695" w:rsidR="00D0260D" w:rsidRPr="00BD1EFF" w:rsidRDefault="00F51CC7" w:rsidP="00AE7991">
            <w:pPr>
              <w:spacing w:after="0" w:line="240" w:lineRule="auto"/>
              <w:jc w:val="center"/>
              <w:rPr>
                <w:b/>
                <w:sz w:val="24"/>
              </w:rPr>
            </w:pPr>
            <w:r w:rsidRPr="00BD1EFF">
              <w:rPr>
                <w:b/>
                <w:sz w:val="24"/>
              </w:rPr>
              <w:t xml:space="preserve">What </w:t>
            </w:r>
            <w:r>
              <w:rPr>
                <w:b/>
                <w:sz w:val="24"/>
              </w:rPr>
              <w:t xml:space="preserve">Partners &amp; </w:t>
            </w:r>
            <w:r w:rsidRPr="00BD1EFF">
              <w:rPr>
                <w:b/>
                <w:sz w:val="24"/>
              </w:rPr>
              <w:t>Stakeholders Say</w:t>
            </w:r>
            <w:r>
              <w:rPr>
                <w:b/>
                <w:sz w:val="24"/>
              </w:rPr>
              <w:br/>
            </w:r>
            <w:r w:rsidRPr="00E64B0B">
              <w:rPr>
                <w:i/>
                <w:sz w:val="20"/>
              </w:rPr>
              <w:t>This may be filled in later in the planning process</w:t>
            </w:r>
          </w:p>
        </w:tc>
      </w:tr>
      <w:tr w:rsidR="00D0260D" w14:paraId="17B59E9F" w14:textId="77777777">
        <w:trPr>
          <w:trHeight w:val="440"/>
          <w:tblHeader/>
        </w:trPr>
        <w:tc>
          <w:tcPr>
            <w:tcW w:w="14449" w:type="dxa"/>
            <w:gridSpan w:val="3"/>
            <w:tcBorders>
              <w:top w:val="single" w:sz="18" w:space="0" w:color="auto"/>
              <w:bottom w:val="single" w:sz="18" w:space="0" w:color="auto"/>
            </w:tcBorders>
            <w:shd w:val="clear" w:color="auto" w:fill="FF0000"/>
            <w:vAlign w:val="center"/>
          </w:tcPr>
          <w:p w14:paraId="41C75932" w14:textId="57FBAC61" w:rsidR="00D0260D" w:rsidRPr="00BD1EFF" w:rsidRDefault="00D0260D" w:rsidP="00AE7991">
            <w:pPr>
              <w:spacing w:after="0" w:line="240" w:lineRule="auto"/>
              <w:jc w:val="center"/>
              <w:rPr>
                <w:b/>
                <w:sz w:val="24"/>
              </w:rPr>
            </w:pPr>
            <w:r w:rsidRPr="00BD1EFF">
              <w:rPr>
                <w:b/>
                <w:sz w:val="24"/>
              </w:rPr>
              <w:t>DATA &amp; DATA SYSTEM</w:t>
            </w:r>
            <w:r w:rsidR="00AF45ED">
              <w:rPr>
                <w:b/>
                <w:sz w:val="24"/>
              </w:rPr>
              <w:t>S</w:t>
            </w:r>
          </w:p>
        </w:tc>
      </w:tr>
      <w:tr w:rsidR="00D0260D" w14:paraId="12747212" w14:textId="77777777">
        <w:tc>
          <w:tcPr>
            <w:tcW w:w="4546" w:type="dxa"/>
            <w:tcBorders>
              <w:top w:val="single" w:sz="18" w:space="0" w:color="auto"/>
              <w:bottom w:val="nil"/>
            </w:tcBorders>
          </w:tcPr>
          <w:p w14:paraId="2D92E9DE" w14:textId="4D2A22B9" w:rsidR="00D0260D" w:rsidRDefault="00D0260D" w:rsidP="00AE7991">
            <w:pPr>
              <w:spacing w:after="0" w:line="240" w:lineRule="auto"/>
            </w:pPr>
            <w:r>
              <w:t>Using the last three years of data from the</w:t>
            </w:r>
            <w:r w:rsidRPr="0048294B">
              <w:t xml:space="preserve"> Consolidated Annual Report</w:t>
            </w:r>
            <w:r>
              <w:t>:</w:t>
            </w:r>
          </w:p>
          <w:p w14:paraId="7822B4A6" w14:textId="77777777" w:rsidR="00D0260D" w:rsidRPr="0048294B" w:rsidRDefault="00D0260D" w:rsidP="00AE7991">
            <w:pPr>
              <w:pStyle w:val="ListParagraph"/>
              <w:numPr>
                <w:ilvl w:val="0"/>
                <w:numId w:val="11"/>
              </w:numPr>
              <w:spacing w:after="0" w:line="240" w:lineRule="auto"/>
              <w:ind w:left="337"/>
            </w:pPr>
            <w:r w:rsidRPr="0048294B">
              <w:t xml:space="preserve">What programs of study </w:t>
            </w:r>
            <w:r>
              <w:t xml:space="preserve">(or Career Clusters) </w:t>
            </w:r>
            <w:r w:rsidRPr="0048294B">
              <w:t>have highest</w:t>
            </w:r>
            <w:r>
              <w:t xml:space="preserve"> and lowest performance levels and/</w:t>
            </w:r>
            <w:r w:rsidRPr="0048294B">
              <w:t>or highest</w:t>
            </w:r>
            <w:r>
              <w:t xml:space="preserve"> and </w:t>
            </w:r>
            <w:r w:rsidRPr="0048294B">
              <w:t>lowest enrollment?</w:t>
            </w:r>
          </w:p>
          <w:p w14:paraId="66793DB0" w14:textId="6482ED92" w:rsidR="00D0260D" w:rsidRPr="0048294B" w:rsidRDefault="00D0260D" w:rsidP="00AE7991">
            <w:pPr>
              <w:pStyle w:val="ListParagraph"/>
              <w:numPr>
                <w:ilvl w:val="0"/>
                <w:numId w:val="11"/>
              </w:numPr>
              <w:spacing w:after="0" w:line="240" w:lineRule="auto"/>
              <w:ind w:left="337"/>
            </w:pPr>
            <w:r>
              <w:t>How d</w:t>
            </w:r>
            <w:r w:rsidRPr="0048294B">
              <w:t xml:space="preserve">o enrollment data align to in-demand industries and occupations? </w:t>
            </w:r>
          </w:p>
          <w:p w14:paraId="54406CAB" w14:textId="77777777" w:rsidR="00D0260D" w:rsidRDefault="00D0260D" w:rsidP="00BA5408">
            <w:pPr>
              <w:pStyle w:val="ListParagraph"/>
              <w:numPr>
                <w:ilvl w:val="0"/>
                <w:numId w:val="11"/>
              </w:numPr>
              <w:spacing w:after="0" w:line="240" w:lineRule="auto"/>
              <w:ind w:left="337"/>
            </w:pPr>
            <w:r w:rsidRPr="0048294B">
              <w:t xml:space="preserve">How are special populations represented in high-quality programs of study? </w:t>
            </w:r>
          </w:p>
          <w:p w14:paraId="4695ACE5" w14:textId="05FCB787" w:rsidR="007C2C76" w:rsidRPr="0048294B" w:rsidRDefault="007C2C76" w:rsidP="00BA5408">
            <w:pPr>
              <w:pStyle w:val="ListParagraph"/>
              <w:numPr>
                <w:ilvl w:val="0"/>
                <w:numId w:val="11"/>
              </w:numPr>
              <w:spacing w:after="0" w:line="240" w:lineRule="auto"/>
              <w:ind w:left="337"/>
            </w:pPr>
            <w:r>
              <w:t xml:space="preserve">Is your state under an improvement plan for any of the </w:t>
            </w:r>
            <w:r w:rsidR="00766234">
              <w:t xml:space="preserve">core indicators </w:t>
            </w:r>
            <w:r>
              <w:t xml:space="preserve">of </w:t>
            </w:r>
            <w:r w:rsidR="00766234">
              <w:t>performance</w:t>
            </w:r>
            <w:r>
              <w:t>?</w:t>
            </w:r>
          </w:p>
        </w:tc>
        <w:tc>
          <w:tcPr>
            <w:tcW w:w="4773" w:type="dxa"/>
            <w:tcBorders>
              <w:top w:val="single" w:sz="18" w:space="0" w:color="auto"/>
              <w:bottom w:val="nil"/>
            </w:tcBorders>
          </w:tcPr>
          <w:p w14:paraId="77169FAF" w14:textId="3132F648" w:rsidR="00F278F1" w:rsidRPr="00F278F1" w:rsidRDefault="00F278F1" w:rsidP="00AE7991">
            <w:pPr>
              <w:spacing w:after="0" w:line="240" w:lineRule="auto"/>
              <w:rPr>
                <w:i/>
              </w:rPr>
            </w:pPr>
            <w:r w:rsidRPr="00F278F1">
              <w:rPr>
                <w:i/>
              </w:rPr>
              <w:t>Where are the greatest gaps in service? Which learners</w:t>
            </w:r>
            <w:r w:rsidR="00BA5408">
              <w:rPr>
                <w:i/>
              </w:rPr>
              <w:t>, communities or regions</w:t>
            </w:r>
            <w:r w:rsidRPr="00F278F1">
              <w:rPr>
                <w:i/>
              </w:rPr>
              <w:t xml:space="preserve"> are not being served adequately? </w:t>
            </w:r>
            <w:r>
              <w:rPr>
                <w:i/>
              </w:rPr>
              <w:t>Which in-de</w:t>
            </w:r>
            <w:r w:rsidR="00BA5408">
              <w:rPr>
                <w:i/>
              </w:rPr>
              <w:t>mand industries and occupations are under</w:t>
            </w:r>
            <w:r w:rsidR="00784178">
              <w:rPr>
                <w:i/>
              </w:rPr>
              <w:t>-</w:t>
            </w:r>
            <w:r w:rsidR="00BA5408">
              <w:rPr>
                <w:i/>
              </w:rPr>
              <w:t>represented?</w:t>
            </w:r>
          </w:p>
          <w:p w14:paraId="39F8FC41" w14:textId="77777777" w:rsidR="00F278F1" w:rsidRPr="00F278F1" w:rsidRDefault="00F278F1" w:rsidP="00AE7991">
            <w:pPr>
              <w:spacing w:after="0" w:line="240" w:lineRule="auto"/>
              <w:rPr>
                <w:i/>
              </w:rPr>
            </w:pPr>
          </w:p>
          <w:p w14:paraId="1FF210DF" w14:textId="4B197C1A" w:rsidR="00D0260D" w:rsidRDefault="00F278F1" w:rsidP="00AE7991">
            <w:pPr>
              <w:spacing w:after="0" w:line="240" w:lineRule="auto"/>
            </w:pPr>
            <w:r w:rsidRPr="00F278F1">
              <w:rPr>
                <w:i/>
              </w:rPr>
              <w:t xml:space="preserve">How can and should </w:t>
            </w:r>
            <w:r w:rsidR="00784178" w:rsidRPr="00F278F1">
              <w:rPr>
                <w:i/>
              </w:rPr>
              <w:t>th</w:t>
            </w:r>
            <w:r w:rsidR="00784178">
              <w:rPr>
                <w:i/>
              </w:rPr>
              <w:t>ese</w:t>
            </w:r>
            <w:r w:rsidR="00784178" w:rsidRPr="00F278F1">
              <w:rPr>
                <w:i/>
              </w:rPr>
              <w:t xml:space="preserve"> </w:t>
            </w:r>
            <w:r w:rsidRPr="00F278F1">
              <w:rPr>
                <w:i/>
              </w:rPr>
              <w:t>data be presented in upcoming hearings and stakeholder input sessions?</w:t>
            </w:r>
          </w:p>
        </w:tc>
        <w:tc>
          <w:tcPr>
            <w:tcW w:w="5130" w:type="dxa"/>
            <w:tcBorders>
              <w:top w:val="single" w:sz="18" w:space="0" w:color="auto"/>
              <w:bottom w:val="nil"/>
            </w:tcBorders>
          </w:tcPr>
          <w:p w14:paraId="247E0AE3" w14:textId="77777777" w:rsidR="00D0260D" w:rsidRDefault="00D0260D" w:rsidP="00AE7991">
            <w:pPr>
              <w:spacing w:after="0" w:line="240" w:lineRule="auto"/>
            </w:pPr>
          </w:p>
        </w:tc>
      </w:tr>
      <w:tr w:rsidR="00687D83" w14:paraId="26709845" w14:textId="77777777">
        <w:trPr>
          <w:trHeight w:val="1917"/>
        </w:trPr>
        <w:tc>
          <w:tcPr>
            <w:tcW w:w="4546" w:type="dxa"/>
            <w:tcBorders>
              <w:top w:val="nil"/>
              <w:bottom w:val="single" w:sz="18" w:space="0" w:color="auto"/>
            </w:tcBorders>
            <w:shd w:val="clear" w:color="auto" w:fill="D9D9D9" w:themeFill="background1" w:themeFillShade="D9"/>
          </w:tcPr>
          <w:p w14:paraId="1848DA95" w14:textId="77777777" w:rsidR="00687D83" w:rsidRPr="0048294B" w:rsidRDefault="00687D83" w:rsidP="00AE7991">
            <w:pPr>
              <w:spacing w:after="0" w:line="240" w:lineRule="auto"/>
            </w:pPr>
          </w:p>
        </w:tc>
        <w:tc>
          <w:tcPr>
            <w:tcW w:w="4773" w:type="dxa"/>
            <w:tcBorders>
              <w:top w:val="nil"/>
              <w:bottom w:val="single" w:sz="18" w:space="0" w:color="auto"/>
            </w:tcBorders>
            <w:shd w:val="clear" w:color="auto" w:fill="D9D9D9" w:themeFill="background1" w:themeFillShade="D9"/>
          </w:tcPr>
          <w:p w14:paraId="3DF648E4" w14:textId="77777777" w:rsidR="00687D83" w:rsidRDefault="00687D83" w:rsidP="00AE7991">
            <w:pPr>
              <w:spacing w:after="0" w:line="240" w:lineRule="auto"/>
            </w:pPr>
          </w:p>
        </w:tc>
        <w:tc>
          <w:tcPr>
            <w:tcW w:w="5130" w:type="dxa"/>
            <w:tcBorders>
              <w:top w:val="nil"/>
              <w:bottom w:val="single" w:sz="18" w:space="0" w:color="auto"/>
            </w:tcBorders>
            <w:shd w:val="clear" w:color="auto" w:fill="D9D9D9" w:themeFill="background1" w:themeFillShade="D9"/>
          </w:tcPr>
          <w:p w14:paraId="2C572699" w14:textId="77777777" w:rsidR="00687D83" w:rsidRPr="0048294B" w:rsidRDefault="00687D83" w:rsidP="00AE7991">
            <w:pPr>
              <w:spacing w:after="0" w:line="240" w:lineRule="auto"/>
            </w:pPr>
          </w:p>
        </w:tc>
      </w:tr>
      <w:tr w:rsidR="00687D83" w14:paraId="4DBCB7E4" w14:textId="77777777">
        <w:trPr>
          <w:trHeight w:val="1035"/>
        </w:trPr>
        <w:tc>
          <w:tcPr>
            <w:tcW w:w="4546" w:type="dxa"/>
            <w:tcBorders>
              <w:top w:val="single" w:sz="18" w:space="0" w:color="auto"/>
              <w:bottom w:val="nil"/>
            </w:tcBorders>
          </w:tcPr>
          <w:p w14:paraId="488E5CFE" w14:textId="77777777" w:rsidR="00687D83" w:rsidRPr="0048294B" w:rsidRDefault="007C043E" w:rsidP="007C043E">
            <w:pPr>
              <w:spacing w:after="0" w:line="240" w:lineRule="auto"/>
            </w:pPr>
            <w:r>
              <w:t xml:space="preserve">If applicable, are </w:t>
            </w:r>
            <w:r w:rsidR="00687D83">
              <w:t>there any relevant or outstanding issues from the most recent U.S. Department of Education monitoring visit</w:t>
            </w:r>
            <w:r w:rsidR="00893B49">
              <w:t xml:space="preserve"> that need to be addressed</w:t>
            </w:r>
            <w:r w:rsidR="00687D83">
              <w:t xml:space="preserve">? </w:t>
            </w:r>
          </w:p>
        </w:tc>
        <w:tc>
          <w:tcPr>
            <w:tcW w:w="4773" w:type="dxa"/>
            <w:tcBorders>
              <w:top w:val="single" w:sz="18" w:space="0" w:color="auto"/>
              <w:bottom w:val="nil"/>
            </w:tcBorders>
          </w:tcPr>
          <w:p w14:paraId="18925285" w14:textId="77777777" w:rsidR="00687D83" w:rsidRPr="00D0260D" w:rsidRDefault="00687D83" w:rsidP="00AE7991">
            <w:pPr>
              <w:spacing w:after="0" w:line="240" w:lineRule="auto"/>
              <w:rPr>
                <w:i/>
              </w:rPr>
            </w:pPr>
          </w:p>
        </w:tc>
        <w:tc>
          <w:tcPr>
            <w:tcW w:w="5130" w:type="dxa"/>
            <w:tcBorders>
              <w:top w:val="single" w:sz="18" w:space="0" w:color="auto"/>
              <w:bottom w:val="nil"/>
            </w:tcBorders>
          </w:tcPr>
          <w:p w14:paraId="40746E6A" w14:textId="77777777" w:rsidR="00687D83" w:rsidRDefault="00687D83" w:rsidP="00AE7991">
            <w:pPr>
              <w:spacing w:after="0" w:line="240" w:lineRule="auto"/>
            </w:pPr>
          </w:p>
        </w:tc>
      </w:tr>
      <w:tr w:rsidR="00687D83" w14:paraId="3D41F9AA" w14:textId="77777777">
        <w:trPr>
          <w:trHeight w:val="1503"/>
        </w:trPr>
        <w:tc>
          <w:tcPr>
            <w:tcW w:w="4546" w:type="dxa"/>
            <w:tcBorders>
              <w:top w:val="nil"/>
              <w:bottom w:val="single" w:sz="18" w:space="0" w:color="auto"/>
            </w:tcBorders>
            <w:shd w:val="clear" w:color="auto" w:fill="D9D9D9" w:themeFill="background1" w:themeFillShade="D9"/>
          </w:tcPr>
          <w:p w14:paraId="5BE7886F" w14:textId="77777777" w:rsidR="00687D83" w:rsidRPr="0048294B" w:rsidRDefault="00687D83" w:rsidP="00AE7991">
            <w:pPr>
              <w:spacing w:after="0" w:line="240" w:lineRule="auto"/>
            </w:pPr>
          </w:p>
        </w:tc>
        <w:tc>
          <w:tcPr>
            <w:tcW w:w="4773" w:type="dxa"/>
            <w:tcBorders>
              <w:top w:val="nil"/>
              <w:bottom w:val="single" w:sz="18" w:space="0" w:color="auto"/>
            </w:tcBorders>
            <w:shd w:val="clear" w:color="auto" w:fill="D9D9D9" w:themeFill="background1" w:themeFillShade="D9"/>
          </w:tcPr>
          <w:p w14:paraId="5C69E5A9" w14:textId="77777777" w:rsidR="00687D83" w:rsidRDefault="00687D83" w:rsidP="00AE7991">
            <w:pPr>
              <w:spacing w:after="0" w:line="240" w:lineRule="auto"/>
            </w:pPr>
          </w:p>
        </w:tc>
        <w:tc>
          <w:tcPr>
            <w:tcW w:w="5130" w:type="dxa"/>
            <w:tcBorders>
              <w:top w:val="nil"/>
              <w:bottom w:val="single" w:sz="18" w:space="0" w:color="auto"/>
            </w:tcBorders>
            <w:shd w:val="clear" w:color="auto" w:fill="D9D9D9" w:themeFill="background1" w:themeFillShade="D9"/>
          </w:tcPr>
          <w:p w14:paraId="659C6E57" w14:textId="77777777" w:rsidR="00687D83" w:rsidRDefault="00687D83" w:rsidP="00AE7991">
            <w:pPr>
              <w:spacing w:after="0" w:line="240" w:lineRule="auto"/>
            </w:pPr>
          </w:p>
        </w:tc>
      </w:tr>
      <w:tr w:rsidR="00687D83" w14:paraId="5AFD736F" w14:textId="77777777">
        <w:trPr>
          <w:trHeight w:val="1620"/>
        </w:trPr>
        <w:tc>
          <w:tcPr>
            <w:tcW w:w="4546" w:type="dxa"/>
            <w:tcBorders>
              <w:top w:val="single" w:sz="18" w:space="0" w:color="auto"/>
              <w:bottom w:val="nil"/>
            </w:tcBorders>
          </w:tcPr>
          <w:p w14:paraId="2713C47A" w14:textId="2BBAC4EB" w:rsidR="00687D83" w:rsidRPr="0048294B" w:rsidRDefault="00687D83" w:rsidP="00AE7991">
            <w:pPr>
              <w:spacing w:after="0" w:line="240" w:lineRule="auto"/>
            </w:pPr>
            <w:r>
              <w:t>What is the overall quality of your state’s CTE data system</w:t>
            </w:r>
            <w:r w:rsidR="00784178">
              <w:t xml:space="preserve"> — </w:t>
            </w:r>
            <w:r>
              <w:t>including the collection, validation and public reporting of CTE data? What degree of confidence do you have in your current CTE data?</w:t>
            </w:r>
          </w:p>
        </w:tc>
        <w:tc>
          <w:tcPr>
            <w:tcW w:w="4773" w:type="dxa"/>
            <w:tcBorders>
              <w:top w:val="single" w:sz="18" w:space="0" w:color="auto"/>
              <w:bottom w:val="nil"/>
            </w:tcBorders>
          </w:tcPr>
          <w:p w14:paraId="3C654E5E" w14:textId="00789ACC" w:rsidR="00687D83" w:rsidRPr="00D0260D" w:rsidRDefault="00687D83" w:rsidP="00AE7991">
            <w:pPr>
              <w:spacing w:after="0" w:line="240" w:lineRule="auto"/>
              <w:rPr>
                <w:i/>
              </w:rPr>
            </w:pPr>
            <w:r>
              <w:rPr>
                <w:i/>
              </w:rPr>
              <w:t>What investments or resources can be put toward strengthening the collection, validation and public reporting</w:t>
            </w:r>
            <w:r w:rsidR="00400548">
              <w:rPr>
                <w:i/>
              </w:rPr>
              <w:t xml:space="preserve"> of CTE data</w:t>
            </w:r>
            <w:r>
              <w:rPr>
                <w:i/>
              </w:rPr>
              <w:t xml:space="preserve">? </w:t>
            </w:r>
            <w:r w:rsidR="00766234">
              <w:rPr>
                <w:i/>
              </w:rPr>
              <w:t xml:space="preserve">How </w:t>
            </w:r>
            <w:r>
              <w:rPr>
                <w:i/>
              </w:rPr>
              <w:t>can other state agencies and partners be supportive?</w:t>
            </w:r>
          </w:p>
        </w:tc>
        <w:tc>
          <w:tcPr>
            <w:tcW w:w="5130" w:type="dxa"/>
            <w:tcBorders>
              <w:top w:val="single" w:sz="18" w:space="0" w:color="auto"/>
              <w:bottom w:val="nil"/>
            </w:tcBorders>
          </w:tcPr>
          <w:p w14:paraId="157C4205" w14:textId="77777777" w:rsidR="00687D83" w:rsidRDefault="00687D83" w:rsidP="00AE7991">
            <w:pPr>
              <w:spacing w:after="0" w:line="240" w:lineRule="auto"/>
            </w:pPr>
          </w:p>
        </w:tc>
      </w:tr>
      <w:tr w:rsidR="00687D83" w14:paraId="5698B22F" w14:textId="77777777">
        <w:trPr>
          <w:trHeight w:val="2133"/>
        </w:trPr>
        <w:tc>
          <w:tcPr>
            <w:tcW w:w="4546" w:type="dxa"/>
            <w:tcBorders>
              <w:top w:val="nil"/>
              <w:bottom w:val="single" w:sz="18" w:space="0" w:color="auto"/>
            </w:tcBorders>
            <w:shd w:val="clear" w:color="auto" w:fill="D9D9D9" w:themeFill="background1" w:themeFillShade="D9"/>
          </w:tcPr>
          <w:p w14:paraId="48425D50" w14:textId="77777777" w:rsidR="00687D83" w:rsidRPr="0048294B" w:rsidRDefault="00687D83" w:rsidP="00AE7991">
            <w:pPr>
              <w:spacing w:after="0" w:line="240" w:lineRule="auto"/>
            </w:pPr>
          </w:p>
        </w:tc>
        <w:tc>
          <w:tcPr>
            <w:tcW w:w="4773" w:type="dxa"/>
            <w:tcBorders>
              <w:top w:val="nil"/>
              <w:bottom w:val="single" w:sz="18" w:space="0" w:color="auto"/>
            </w:tcBorders>
            <w:shd w:val="clear" w:color="auto" w:fill="D9D9D9" w:themeFill="background1" w:themeFillShade="D9"/>
          </w:tcPr>
          <w:p w14:paraId="3502A6CC" w14:textId="77777777" w:rsidR="00687D83" w:rsidRDefault="00687D83" w:rsidP="00AE7991">
            <w:pPr>
              <w:spacing w:after="0" w:line="240" w:lineRule="auto"/>
            </w:pPr>
          </w:p>
        </w:tc>
        <w:tc>
          <w:tcPr>
            <w:tcW w:w="5130" w:type="dxa"/>
            <w:tcBorders>
              <w:top w:val="nil"/>
              <w:bottom w:val="single" w:sz="18" w:space="0" w:color="auto"/>
            </w:tcBorders>
            <w:shd w:val="clear" w:color="auto" w:fill="D9D9D9" w:themeFill="background1" w:themeFillShade="D9"/>
          </w:tcPr>
          <w:p w14:paraId="41C5A6B1" w14:textId="77777777" w:rsidR="00687D83" w:rsidRDefault="00687D83" w:rsidP="00AE7991">
            <w:pPr>
              <w:spacing w:after="0" w:line="240" w:lineRule="auto"/>
            </w:pPr>
          </w:p>
        </w:tc>
      </w:tr>
      <w:tr w:rsidR="00687D83" w14:paraId="6E1B42E6" w14:textId="77777777">
        <w:tc>
          <w:tcPr>
            <w:tcW w:w="4546" w:type="dxa"/>
            <w:tcBorders>
              <w:top w:val="single" w:sz="18" w:space="0" w:color="auto"/>
              <w:bottom w:val="nil"/>
            </w:tcBorders>
          </w:tcPr>
          <w:p w14:paraId="3AF8A5C4" w14:textId="77777777" w:rsidR="00687D83" w:rsidRPr="0048294B" w:rsidRDefault="00687D83" w:rsidP="00AE7991">
            <w:pPr>
              <w:spacing w:after="0" w:line="240" w:lineRule="auto"/>
            </w:pPr>
            <w:r>
              <w:t>What is your s</w:t>
            </w:r>
            <w:r w:rsidRPr="0048294B">
              <w:t>tate’s current capacity to address new requireme</w:t>
            </w:r>
            <w:r>
              <w:t>nts for reporting in Perkins V?</w:t>
            </w:r>
            <w:r w:rsidR="00861AF6">
              <w:t xml:space="preserve"> </w:t>
            </w:r>
            <w:r>
              <w:t xml:space="preserve"> </w:t>
            </w:r>
          </w:p>
        </w:tc>
        <w:tc>
          <w:tcPr>
            <w:tcW w:w="4773" w:type="dxa"/>
            <w:tcBorders>
              <w:top w:val="single" w:sz="18" w:space="0" w:color="auto"/>
              <w:bottom w:val="nil"/>
            </w:tcBorders>
          </w:tcPr>
          <w:p w14:paraId="6FFC313C" w14:textId="77777777" w:rsidR="00861AF6" w:rsidRDefault="00687D83" w:rsidP="00AE7991">
            <w:pPr>
              <w:spacing w:after="0" w:line="240" w:lineRule="auto"/>
              <w:rPr>
                <w:i/>
              </w:rPr>
            </w:pPr>
            <w:r w:rsidRPr="00D0260D">
              <w:rPr>
                <w:b/>
                <w:i/>
              </w:rPr>
              <w:t>NOTE</w:t>
            </w:r>
            <w:r w:rsidRPr="007478F7">
              <w:rPr>
                <w:b/>
                <w:i/>
              </w:rPr>
              <w:t>:</w:t>
            </w:r>
            <w:r w:rsidRPr="00D0260D">
              <w:rPr>
                <w:i/>
              </w:rPr>
              <w:t xml:space="preserve"> Perkins V includes</w:t>
            </w:r>
            <w:r w:rsidR="00861AF6">
              <w:rPr>
                <w:i/>
              </w:rPr>
              <w:t>:</w:t>
            </w:r>
          </w:p>
          <w:p w14:paraId="5D78642A" w14:textId="313D8C8B" w:rsidR="00861AF6" w:rsidRDefault="00861AF6" w:rsidP="00AE7991">
            <w:pPr>
              <w:pStyle w:val="ListParagraph"/>
              <w:numPr>
                <w:ilvl w:val="0"/>
                <w:numId w:val="15"/>
              </w:numPr>
              <w:spacing w:after="0" w:line="240" w:lineRule="auto"/>
              <w:rPr>
                <w:i/>
              </w:rPr>
            </w:pPr>
            <w:r>
              <w:rPr>
                <w:i/>
              </w:rPr>
              <w:t>N</w:t>
            </w:r>
            <w:r w:rsidR="00687D83" w:rsidRPr="00861AF6">
              <w:rPr>
                <w:i/>
              </w:rPr>
              <w:t xml:space="preserve">ew categories of </w:t>
            </w:r>
            <w:r w:rsidR="00784178">
              <w:rPr>
                <w:i/>
              </w:rPr>
              <w:t>s</w:t>
            </w:r>
            <w:r w:rsidR="00784178" w:rsidRPr="00861AF6">
              <w:rPr>
                <w:i/>
              </w:rPr>
              <w:t xml:space="preserve">pecial </w:t>
            </w:r>
            <w:r w:rsidR="00784178">
              <w:rPr>
                <w:i/>
              </w:rPr>
              <w:t>p</w:t>
            </w:r>
            <w:r w:rsidR="00784178" w:rsidRPr="00861AF6">
              <w:rPr>
                <w:i/>
              </w:rPr>
              <w:t xml:space="preserve">opulations </w:t>
            </w:r>
            <w:r w:rsidR="00687D83" w:rsidRPr="00861AF6">
              <w:rPr>
                <w:i/>
              </w:rPr>
              <w:t>(i.e., homeless individuals, youth with parents on active duty in the armed forces);</w:t>
            </w:r>
          </w:p>
          <w:p w14:paraId="6EA77905" w14:textId="15CB66BD" w:rsidR="00861AF6" w:rsidRDefault="00861AF6" w:rsidP="00AE7991">
            <w:pPr>
              <w:pStyle w:val="ListParagraph"/>
              <w:numPr>
                <w:ilvl w:val="0"/>
                <w:numId w:val="15"/>
              </w:numPr>
              <w:spacing w:after="0" w:line="240" w:lineRule="auto"/>
              <w:rPr>
                <w:i/>
              </w:rPr>
            </w:pPr>
            <w:r>
              <w:rPr>
                <w:i/>
              </w:rPr>
              <w:t>P</w:t>
            </w:r>
            <w:r w:rsidR="00687D83" w:rsidRPr="00861AF6">
              <w:rPr>
                <w:i/>
              </w:rPr>
              <w:t>lacement into a “service program”</w:t>
            </w:r>
            <w:r w:rsidR="00AF45ED">
              <w:rPr>
                <w:i/>
              </w:rPr>
              <w:t xml:space="preserve"> (e.g., AmeriCorps, Peac</w:t>
            </w:r>
            <w:r w:rsidR="007478F7">
              <w:rPr>
                <w:i/>
              </w:rPr>
              <w:t>e</w:t>
            </w:r>
            <w:r w:rsidR="00AF45ED">
              <w:rPr>
                <w:i/>
              </w:rPr>
              <w:t xml:space="preserve"> Corps)</w:t>
            </w:r>
            <w:r w:rsidR="00687D83" w:rsidRPr="00861AF6">
              <w:rPr>
                <w:i/>
              </w:rPr>
              <w:t xml:space="preserve"> as part of the secondary and postsecondary placement measure;</w:t>
            </w:r>
            <w:r>
              <w:rPr>
                <w:i/>
              </w:rPr>
              <w:t xml:space="preserve"> </w:t>
            </w:r>
          </w:p>
          <w:p w14:paraId="29DAA5E3" w14:textId="3731220A" w:rsidR="00861AF6" w:rsidRDefault="00861AF6" w:rsidP="00AE7991">
            <w:pPr>
              <w:pStyle w:val="ListParagraph"/>
              <w:numPr>
                <w:ilvl w:val="0"/>
                <w:numId w:val="15"/>
              </w:numPr>
              <w:spacing w:after="0" w:line="240" w:lineRule="auto"/>
              <w:rPr>
                <w:i/>
              </w:rPr>
            </w:pPr>
            <w:r>
              <w:rPr>
                <w:i/>
              </w:rPr>
              <w:t>A</w:t>
            </w:r>
            <w:r w:rsidR="00687D83" w:rsidRPr="00861AF6">
              <w:rPr>
                <w:i/>
              </w:rPr>
              <w:t>dditional disaggregation for each core indicator by sub</w:t>
            </w:r>
            <w:r w:rsidR="00784178">
              <w:rPr>
                <w:i/>
              </w:rPr>
              <w:t>-</w:t>
            </w:r>
            <w:r w:rsidR="00687D83" w:rsidRPr="00861AF6">
              <w:rPr>
                <w:i/>
              </w:rPr>
              <w:t xml:space="preserve">group, </w:t>
            </w:r>
            <w:r w:rsidR="00784178">
              <w:rPr>
                <w:i/>
              </w:rPr>
              <w:t xml:space="preserve">by </w:t>
            </w:r>
            <w:r w:rsidR="00687D83" w:rsidRPr="00861AF6">
              <w:rPr>
                <w:i/>
              </w:rPr>
              <w:t>special populations and by CTE program or program of study (if this level of reporting is impractical, the data may be disaggregated by Career Clusters); and</w:t>
            </w:r>
          </w:p>
          <w:p w14:paraId="441AACB0" w14:textId="77777777" w:rsidR="00687D83" w:rsidRDefault="00861AF6" w:rsidP="00AE7991">
            <w:pPr>
              <w:pStyle w:val="ListParagraph"/>
              <w:numPr>
                <w:ilvl w:val="0"/>
                <w:numId w:val="15"/>
              </w:numPr>
              <w:spacing w:after="0" w:line="240" w:lineRule="auto"/>
              <w:rPr>
                <w:i/>
              </w:rPr>
            </w:pPr>
            <w:r>
              <w:rPr>
                <w:i/>
              </w:rPr>
              <w:t>A</w:t>
            </w:r>
            <w:r w:rsidR="00687D83" w:rsidRPr="00861AF6">
              <w:rPr>
                <w:i/>
              </w:rPr>
              <w:t>dditional disaggregation by award level for postsecondary.</w:t>
            </w:r>
          </w:p>
          <w:p w14:paraId="35F5E2F0" w14:textId="77777777" w:rsidR="000C011D" w:rsidRPr="000C011D" w:rsidRDefault="000C011D" w:rsidP="000C011D">
            <w:pPr>
              <w:spacing w:after="0" w:line="240" w:lineRule="auto"/>
              <w:rPr>
                <w:i/>
              </w:rPr>
            </w:pPr>
          </w:p>
          <w:p w14:paraId="480CCDA1" w14:textId="06704637" w:rsidR="00933E2E" w:rsidRPr="00861AF6" w:rsidRDefault="00861AF6" w:rsidP="00BA5408">
            <w:pPr>
              <w:spacing w:after="0" w:line="240" w:lineRule="auto"/>
              <w:rPr>
                <w:i/>
              </w:rPr>
            </w:pPr>
            <w:r>
              <w:rPr>
                <w:i/>
              </w:rPr>
              <w:t xml:space="preserve">What investments or resources can be put toward addressing these new definitions and requirements? </w:t>
            </w:r>
            <w:r w:rsidR="007F4E9E">
              <w:rPr>
                <w:i/>
              </w:rPr>
              <w:t xml:space="preserve">How </w:t>
            </w:r>
            <w:r>
              <w:rPr>
                <w:i/>
              </w:rPr>
              <w:t>can other state agencies and partners be supportive?</w:t>
            </w:r>
            <w:r w:rsidR="00400548">
              <w:rPr>
                <w:i/>
              </w:rPr>
              <w:t xml:space="preserve"> </w:t>
            </w:r>
          </w:p>
        </w:tc>
        <w:tc>
          <w:tcPr>
            <w:tcW w:w="5130" w:type="dxa"/>
            <w:tcBorders>
              <w:top w:val="single" w:sz="18" w:space="0" w:color="auto"/>
              <w:bottom w:val="nil"/>
            </w:tcBorders>
          </w:tcPr>
          <w:p w14:paraId="2E397A72" w14:textId="77777777" w:rsidR="00687D83" w:rsidRDefault="00687D83" w:rsidP="00AE7991">
            <w:pPr>
              <w:spacing w:after="0" w:line="240" w:lineRule="auto"/>
            </w:pPr>
          </w:p>
        </w:tc>
      </w:tr>
      <w:tr w:rsidR="00933E2E" w14:paraId="6E483DE1" w14:textId="77777777" w:rsidTr="00F33ACA">
        <w:trPr>
          <w:trHeight w:val="2025"/>
        </w:trPr>
        <w:tc>
          <w:tcPr>
            <w:tcW w:w="4546" w:type="dxa"/>
            <w:tcBorders>
              <w:top w:val="nil"/>
              <w:bottom w:val="single" w:sz="18" w:space="0" w:color="auto"/>
            </w:tcBorders>
            <w:shd w:val="clear" w:color="auto" w:fill="D9D9D9" w:themeFill="background1" w:themeFillShade="D9"/>
          </w:tcPr>
          <w:p w14:paraId="26E26971" w14:textId="77777777" w:rsidR="00933E2E" w:rsidRPr="00D0260D" w:rsidRDefault="00933E2E" w:rsidP="00AE7991">
            <w:pPr>
              <w:spacing w:after="0" w:line="240" w:lineRule="auto"/>
            </w:pPr>
          </w:p>
        </w:tc>
        <w:tc>
          <w:tcPr>
            <w:tcW w:w="4773" w:type="dxa"/>
            <w:tcBorders>
              <w:top w:val="nil"/>
              <w:bottom w:val="single" w:sz="18" w:space="0" w:color="auto"/>
            </w:tcBorders>
            <w:shd w:val="clear" w:color="auto" w:fill="D9D9D9" w:themeFill="background1" w:themeFillShade="D9"/>
          </w:tcPr>
          <w:p w14:paraId="56F3DF81" w14:textId="77777777" w:rsidR="00933E2E" w:rsidRDefault="00933E2E" w:rsidP="00AE7991">
            <w:pPr>
              <w:spacing w:after="0" w:line="240" w:lineRule="auto"/>
            </w:pPr>
          </w:p>
        </w:tc>
        <w:tc>
          <w:tcPr>
            <w:tcW w:w="5130" w:type="dxa"/>
            <w:tcBorders>
              <w:top w:val="nil"/>
              <w:bottom w:val="single" w:sz="18" w:space="0" w:color="auto"/>
            </w:tcBorders>
            <w:shd w:val="clear" w:color="auto" w:fill="D9D9D9" w:themeFill="background1" w:themeFillShade="D9"/>
          </w:tcPr>
          <w:p w14:paraId="64D22E54" w14:textId="77777777" w:rsidR="00933E2E" w:rsidRDefault="00933E2E" w:rsidP="00AE7991">
            <w:pPr>
              <w:spacing w:after="0" w:line="240" w:lineRule="auto"/>
            </w:pPr>
          </w:p>
        </w:tc>
      </w:tr>
      <w:tr w:rsidR="00950A90" w14:paraId="73067041" w14:textId="77777777" w:rsidTr="00F33ACA">
        <w:trPr>
          <w:trHeight w:val="1935"/>
        </w:trPr>
        <w:tc>
          <w:tcPr>
            <w:tcW w:w="4546" w:type="dxa"/>
            <w:tcBorders>
              <w:top w:val="single" w:sz="18" w:space="0" w:color="auto"/>
              <w:bottom w:val="nil"/>
            </w:tcBorders>
            <w:shd w:val="clear" w:color="auto" w:fill="auto"/>
          </w:tcPr>
          <w:p w14:paraId="7E55F5C5" w14:textId="1C4266CD" w:rsidR="00950A90" w:rsidRPr="000C011D" w:rsidRDefault="00950A90" w:rsidP="000C011D">
            <w:pPr>
              <w:spacing w:after="0" w:line="240" w:lineRule="auto"/>
            </w:pPr>
            <w:r w:rsidRPr="000C011D">
              <w:t xml:space="preserve">How do you currently define a </w:t>
            </w:r>
            <w:r w:rsidR="000C011D">
              <w:t xml:space="preserve">secondary </w:t>
            </w:r>
            <w:r w:rsidRPr="000C011D">
              <w:t>“CTE concentrator</w:t>
            </w:r>
            <w:r w:rsidR="000C011D">
              <w:t xml:space="preserve">” (e.g., by courses, credits, programs)? How will the new requirements </w:t>
            </w:r>
            <w:r w:rsidR="00784178">
              <w:t xml:space="preserve">affect </w:t>
            </w:r>
            <w:r w:rsidR="000C011D">
              <w:t>your population of CTE students?</w:t>
            </w:r>
          </w:p>
        </w:tc>
        <w:tc>
          <w:tcPr>
            <w:tcW w:w="4773" w:type="dxa"/>
            <w:tcBorders>
              <w:top w:val="single" w:sz="18" w:space="0" w:color="auto"/>
              <w:bottom w:val="nil"/>
            </w:tcBorders>
            <w:shd w:val="clear" w:color="auto" w:fill="auto"/>
          </w:tcPr>
          <w:p w14:paraId="42C291EF" w14:textId="3A6E9081" w:rsidR="00950A90" w:rsidRPr="007478F7" w:rsidRDefault="000C011D" w:rsidP="000C011D">
            <w:pPr>
              <w:spacing w:after="0" w:line="240" w:lineRule="auto"/>
              <w:rPr>
                <w:i/>
              </w:rPr>
            </w:pPr>
            <w:r w:rsidRPr="007478F7">
              <w:rPr>
                <w:i/>
              </w:rPr>
              <w:t xml:space="preserve">What policy changes might be necessary to ensure </w:t>
            </w:r>
            <w:r w:rsidR="00784178" w:rsidRPr="007478F7">
              <w:rPr>
                <w:i/>
              </w:rPr>
              <w:t xml:space="preserve">that </w:t>
            </w:r>
            <w:r w:rsidRPr="007478F7">
              <w:rPr>
                <w:i/>
              </w:rPr>
              <w:t>secondary students defined as “concentrator</w:t>
            </w:r>
            <w:r w:rsidR="00784178" w:rsidRPr="007478F7">
              <w:rPr>
                <w:i/>
              </w:rPr>
              <w:t>s</w:t>
            </w:r>
            <w:r w:rsidRPr="007478F7">
              <w:rPr>
                <w:i/>
              </w:rPr>
              <w:t xml:space="preserve">” are completing a meaningful sequence of courses? </w:t>
            </w:r>
          </w:p>
        </w:tc>
        <w:tc>
          <w:tcPr>
            <w:tcW w:w="5130" w:type="dxa"/>
            <w:tcBorders>
              <w:top w:val="single" w:sz="18" w:space="0" w:color="auto"/>
              <w:bottom w:val="nil"/>
            </w:tcBorders>
            <w:shd w:val="clear" w:color="auto" w:fill="auto"/>
          </w:tcPr>
          <w:p w14:paraId="3D6551F8" w14:textId="77777777" w:rsidR="00950A90" w:rsidRDefault="00950A90" w:rsidP="00AE7991">
            <w:pPr>
              <w:spacing w:after="0" w:line="240" w:lineRule="auto"/>
            </w:pPr>
          </w:p>
        </w:tc>
      </w:tr>
      <w:tr w:rsidR="00950A90" w14:paraId="78E636AA" w14:textId="77777777" w:rsidTr="00F33ACA">
        <w:trPr>
          <w:trHeight w:val="1395"/>
        </w:trPr>
        <w:tc>
          <w:tcPr>
            <w:tcW w:w="4546" w:type="dxa"/>
            <w:tcBorders>
              <w:top w:val="nil"/>
              <w:bottom w:val="single" w:sz="18" w:space="0" w:color="auto"/>
            </w:tcBorders>
            <w:shd w:val="clear" w:color="auto" w:fill="D9D9D9" w:themeFill="background1" w:themeFillShade="D9"/>
          </w:tcPr>
          <w:p w14:paraId="34A4504A" w14:textId="77777777" w:rsidR="00950A90" w:rsidRPr="00D0260D" w:rsidRDefault="00950A90" w:rsidP="00AE7991">
            <w:pPr>
              <w:spacing w:after="0" w:line="240" w:lineRule="auto"/>
            </w:pPr>
          </w:p>
        </w:tc>
        <w:tc>
          <w:tcPr>
            <w:tcW w:w="4773" w:type="dxa"/>
            <w:tcBorders>
              <w:top w:val="nil"/>
              <w:bottom w:val="single" w:sz="18" w:space="0" w:color="auto"/>
            </w:tcBorders>
            <w:shd w:val="clear" w:color="auto" w:fill="D9D9D9" w:themeFill="background1" w:themeFillShade="D9"/>
          </w:tcPr>
          <w:p w14:paraId="1EA8F1F7" w14:textId="77777777" w:rsidR="00950A90" w:rsidRDefault="00950A90" w:rsidP="00AE7991">
            <w:pPr>
              <w:spacing w:after="0" w:line="240" w:lineRule="auto"/>
            </w:pPr>
          </w:p>
        </w:tc>
        <w:tc>
          <w:tcPr>
            <w:tcW w:w="5130" w:type="dxa"/>
            <w:tcBorders>
              <w:top w:val="nil"/>
              <w:bottom w:val="single" w:sz="18" w:space="0" w:color="auto"/>
            </w:tcBorders>
            <w:shd w:val="clear" w:color="auto" w:fill="D9D9D9" w:themeFill="background1" w:themeFillShade="D9"/>
          </w:tcPr>
          <w:p w14:paraId="5257445B" w14:textId="77777777" w:rsidR="00950A90" w:rsidRDefault="00950A90" w:rsidP="00AE7991">
            <w:pPr>
              <w:spacing w:after="0" w:line="240" w:lineRule="auto"/>
            </w:pPr>
          </w:p>
        </w:tc>
      </w:tr>
      <w:tr w:rsidR="00950A90" w14:paraId="2C774991" w14:textId="77777777" w:rsidTr="00F33ACA">
        <w:trPr>
          <w:trHeight w:val="2115"/>
        </w:trPr>
        <w:tc>
          <w:tcPr>
            <w:tcW w:w="4546" w:type="dxa"/>
            <w:tcBorders>
              <w:top w:val="single" w:sz="18" w:space="0" w:color="auto"/>
              <w:bottom w:val="nil"/>
            </w:tcBorders>
            <w:shd w:val="clear" w:color="auto" w:fill="auto"/>
          </w:tcPr>
          <w:p w14:paraId="1F174E96" w14:textId="1FBFE31E" w:rsidR="00950A90" w:rsidRPr="00D0260D" w:rsidRDefault="00950A90" w:rsidP="00950A90">
            <w:pPr>
              <w:spacing w:after="0" w:line="240" w:lineRule="auto"/>
            </w:pPr>
            <w:r>
              <w:t>What is your s</w:t>
            </w:r>
            <w:r w:rsidRPr="0048294B">
              <w:t xml:space="preserve">tate’s current capacity </w:t>
            </w:r>
            <w:r>
              <w:t xml:space="preserve">to adopt a meaningful “program quality” indicator? </w:t>
            </w:r>
          </w:p>
        </w:tc>
        <w:tc>
          <w:tcPr>
            <w:tcW w:w="4773" w:type="dxa"/>
            <w:tcBorders>
              <w:top w:val="single" w:sz="18" w:space="0" w:color="auto"/>
              <w:bottom w:val="nil"/>
            </w:tcBorders>
            <w:shd w:val="clear" w:color="auto" w:fill="auto"/>
          </w:tcPr>
          <w:p w14:paraId="7CB84B08" w14:textId="48DC3344" w:rsidR="00950A90" w:rsidRPr="00950A90" w:rsidRDefault="00950A90" w:rsidP="00950A90">
            <w:pPr>
              <w:spacing w:after="0" w:line="240" w:lineRule="auto"/>
              <w:textAlignment w:val="baseline"/>
              <w:rPr>
                <w:rFonts w:eastAsia="Times New Roman" w:cstheme="minorHAnsi"/>
                <w:i/>
                <w:color w:val="000000"/>
              </w:rPr>
            </w:pPr>
            <w:r w:rsidRPr="00950A90">
              <w:rPr>
                <w:rFonts w:eastAsia="Times New Roman" w:cstheme="minorHAnsi"/>
                <w:i/>
                <w:color w:val="000000"/>
              </w:rPr>
              <w:t>Which program quality indicator option would be easiest to adopt from data collection standpoint? Which is most aligned with statewide goals/vision?</w:t>
            </w:r>
          </w:p>
          <w:p w14:paraId="5C2E876A" w14:textId="77777777" w:rsidR="00950A90" w:rsidRDefault="00950A90" w:rsidP="00AE7991">
            <w:pPr>
              <w:spacing w:after="0" w:line="240" w:lineRule="auto"/>
            </w:pPr>
          </w:p>
        </w:tc>
        <w:tc>
          <w:tcPr>
            <w:tcW w:w="5130" w:type="dxa"/>
            <w:tcBorders>
              <w:top w:val="single" w:sz="18" w:space="0" w:color="auto"/>
              <w:bottom w:val="nil"/>
            </w:tcBorders>
            <w:shd w:val="clear" w:color="auto" w:fill="auto"/>
          </w:tcPr>
          <w:p w14:paraId="000DCCD2" w14:textId="77777777" w:rsidR="00950A90" w:rsidRDefault="00950A90" w:rsidP="00AE7991">
            <w:pPr>
              <w:spacing w:after="0" w:line="240" w:lineRule="auto"/>
            </w:pPr>
          </w:p>
        </w:tc>
      </w:tr>
      <w:tr w:rsidR="00950A90" w14:paraId="0F1D6078" w14:textId="77777777" w:rsidTr="00F33ACA">
        <w:trPr>
          <w:trHeight w:val="1935"/>
        </w:trPr>
        <w:tc>
          <w:tcPr>
            <w:tcW w:w="4546" w:type="dxa"/>
            <w:tcBorders>
              <w:top w:val="nil"/>
              <w:bottom w:val="single" w:sz="18" w:space="0" w:color="auto"/>
            </w:tcBorders>
            <w:shd w:val="clear" w:color="auto" w:fill="D9D9D9" w:themeFill="background1" w:themeFillShade="D9"/>
          </w:tcPr>
          <w:p w14:paraId="0A4EBBDD" w14:textId="77777777" w:rsidR="00950A90" w:rsidRPr="00D0260D" w:rsidRDefault="00950A90" w:rsidP="00AE7991">
            <w:pPr>
              <w:spacing w:after="0" w:line="240" w:lineRule="auto"/>
            </w:pPr>
          </w:p>
        </w:tc>
        <w:tc>
          <w:tcPr>
            <w:tcW w:w="4773" w:type="dxa"/>
            <w:tcBorders>
              <w:top w:val="nil"/>
              <w:bottom w:val="single" w:sz="18" w:space="0" w:color="auto"/>
            </w:tcBorders>
            <w:shd w:val="clear" w:color="auto" w:fill="D9D9D9" w:themeFill="background1" w:themeFillShade="D9"/>
          </w:tcPr>
          <w:p w14:paraId="0989C27D" w14:textId="77777777" w:rsidR="00950A90" w:rsidRDefault="00950A90" w:rsidP="00AE7991">
            <w:pPr>
              <w:spacing w:after="0" w:line="240" w:lineRule="auto"/>
            </w:pPr>
          </w:p>
        </w:tc>
        <w:tc>
          <w:tcPr>
            <w:tcW w:w="5130" w:type="dxa"/>
            <w:tcBorders>
              <w:top w:val="nil"/>
              <w:bottom w:val="single" w:sz="18" w:space="0" w:color="auto"/>
            </w:tcBorders>
            <w:shd w:val="clear" w:color="auto" w:fill="D9D9D9" w:themeFill="background1" w:themeFillShade="D9"/>
          </w:tcPr>
          <w:p w14:paraId="04F6E78B" w14:textId="77777777" w:rsidR="00950A90" w:rsidRDefault="00950A90" w:rsidP="00AE7991">
            <w:pPr>
              <w:spacing w:after="0" w:line="240" w:lineRule="auto"/>
            </w:pPr>
          </w:p>
        </w:tc>
      </w:tr>
      <w:tr w:rsidR="00933E2E" w14:paraId="52D265DB" w14:textId="77777777">
        <w:trPr>
          <w:trHeight w:val="1845"/>
        </w:trPr>
        <w:tc>
          <w:tcPr>
            <w:tcW w:w="4546" w:type="dxa"/>
            <w:tcBorders>
              <w:top w:val="single" w:sz="18" w:space="0" w:color="auto"/>
              <w:bottom w:val="nil"/>
            </w:tcBorders>
            <w:shd w:val="clear" w:color="auto" w:fill="auto"/>
          </w:tcPr>
          <w:p w14:paraId="647ADA1F" w14:textId="1AEF8AFF" w:rsidR="00933E2E" w:rsidRPr="0048294B" w:rsidRDefault="00933E2E" w:rsidP="00AE7991">
            <w:pPr>
              <w:spacing w:after="0" w:line="240" w:lineRule="auto"/>
            </w:pPr>
            <w:r>
              <w:t xml:space="preserve">To what degree do </w:t>
            </w:r>
            <w:r w:rsidR="00AF45ED">
              <w:t xml:space="preserve">local eligible recipients </w:t>
            </w:r>
            <w:r>
              <w:t xml:space="preserve">have the capacity to access and use CTE data to improve program design and delivery? </w:t>
            </w:r>
            <w:r w:rsidRPr="00D0260D">
              <w:t>What statewide strategies and activities currently support</w:t>
            </w:r>
            <w:r>
              <w:t xml:space="preserve"> that local capacity for data analysis and use?</w:t>
            </w:r>
          </w:p>
        </w:tc>
        <w:tc>
          <w:tcPr>
            <w:tcW w:w="4773" w:type="dxa"/>
            <w:tcBorders>
              <w:top w:val="single" w:sz="18" w:space="0" w:color="auto"/>
              <w:bottom w:val="nil"/>
            </w:tcBorders>
            <w:shd w:val="clear" w:color="auto" w:fill="auto"/>
          </w:tcPr>
          <w:p w14:paraId="580EBAFD" w14:textId="77777777" w:rsidR="00933E2E" w:rsidRPr="00933E2E" w:rsidRDefault="00933E2E" w:rsidP="007166BC">
            <w:pPr>
              <w:spacing w:after="0" w:line="240" w:lineRule="auto"/>
              <w:rPr>
                <w:i/>
              </w:rPr>
            </w:pPr>
            <w:r w:rsidRPr="00933E2E">
              <w:rPr>
                <w:i/>
              </w:rPr>
              <w:t>What strategies need to be sustained and added to support local capacity for data analysis and use?</w:t>
            </w:r>
          </w:p>
        </w:tc>
        <w:tc>
          <w:tcPr>
            <w:tcW w:w="5130" w:type="dxa"/>
            <w:tcBorders>
              <w:top w:val="single" w:sz="18" w:space="0" w:color="auto"/>
              <w:bottom w:val="nil"/>
            </w:tcBorders>
            <w:shd w:val="clear" w:color="auto" w:fill="auto"/>
          </w:tcPr>
          <w:p w14:paraId="4828730C" w14:textId="77777777" w:rsidR="00933E2E" w:rsidRDefault="00933E2E" w:rsidP="00AE7991">
            <w:pPr>
              <w:spacing w:after="0" w:line="240" w:lineRule="auto"/>
            </w:pPr>
          </w:p>
        </w:tc>
      </w:tr>
      <w:tr w:rsidR="00933E2E" w14:paraId="665F681E" w14:textId="77777777">
        <w:trPr>
          <w:trHeight w:val="1989"/>
        </w:trPr>
        <w:tc>
          <w:tcPr>
            <w:tcW w:w="4546" w:type="dxa"/>
            <w:tcBorders>
              <w:top w:val="nil"/>
              <w:bottom w:val="single" w:sz="18" w:space="0" w:color="auto"/>
            </w:tcBorders>
            <w:shd w:val="clear" w:color="auto" w:fill="D9D9D9" w:themeFill="background1" w:themeFillShade="D9"/>
          </w:tcPr>
          <w:p w14:paraId="6C9A5BDF" w14:textId="77777777" w:rsidR="00933E2E" w:rsidRPr="0048294B" w:rsidRDefault="00933E2E" w:rsidP="00AE7991">
            <w:pPr>
              <w:spacing w:after="0" w:line="240" w:lineRule="auto"/>
            </w:pPr>
          </w:p>
        </w:tc>
        <w:tc>
          <w:tcPr>
            <w:tcW w:w="4773" w:type="dxa"/>
            <w:tcBorders>
              <w:top w:val="nil"/>
              <w:bottom w:val="single" w:sz="18" w:space="0" w:color="auto"/>
            </w:tcBorders>
            <w:shd w:val="clear" w:color="auto" w:fill="D9D9D9" w:themeFill="background1" w:themeFillShade="D9"/>
          </w:tcPr>
          <w:p w14:paraId="78C367A1" w14:textId="77777777" w:rsidR="00933E2E" w:rsidRDefault="00933E2E" w:rsidP="00AE7991">
            <w:pPr>
              <w:spacing w:after="0" w:line="240" w:lineRule="auto"/>
            </w:pPr>
          </w:p>
        </w:tc>
        <w:tc>
          <w:tcPr>
            <w:tcW w:w="5130" w:type="dxa"/>
            <w:tcBorders>
              <w:top w:val="nil"/>
              <w:bottom w:val="single" w:sz="18" w:space="0" w:color="auto"/>
            </w:tcBorders>
            <w:shd w:val="clear" w:color="auto" w:fill="D9D9D9" w:themeFill="background1" w:themeFillShade="D9"/>
          </w:tcPr>
          <w:p w14:paraId="7B6B81CC" w14:textId="77777777" w:rsidR="00933E2E" w:rsidRDefault="00933E2E" w:rsidP="00AE7991">
            <w:pPr>
              <w:spacing w:after="0" w:line="240" w:lineRule="auto"/>
            </w:pPr>
          </w:p>
        </w:tc>
      </w:tr>
      <w:tr w:rsidR="00776FBA" w14:paraId="6EAC3611" w14:textId="77777777">
        <w:trPr>
          <w:trHeight w:val="1035"/>
        </w:trPr>
        <w:tc>
          <w:tcPr>
            <w:tcW w:w="4546" w:type="dxa"/>
            <w:tcBorders>
              <w:top w:val="single" w:sz="18" w:space="0" w:color="auto"/>
              <w:bottom w:val="nil"/>
            </w:tcBorders>
            <w:shd w:val="clear" w:color="auto" w:fill="auto"/>
          </w:tcPr>
          <w:p w14:paraId="752A2E39" w14:textId="403D7CD8" w:rsidR="00776FBA" w:rsidRPr="0048294B" w:rsidRDefault="00776FBA" w:rsidP="008E5DC8">
            <w:pPr>
              <w:spacing w:after="0" w:line="240" w:lineRule="auto"/>
            </w:pPr>
            <w:r>
              <w:t xml:space="preserve">What is the overall quality of your state’s labor market information </w:t>
            </w:r>
            <w:r w:rsidR="00BA5408">
              <w:t xml:space="preserve">(LMI) </w:t>
            </w:r>
            <w:r w:rsidR="001F1ED5">
              <w:t xml:space="preserve">— </w:t>
            </w:r>
            <w:r>
              <w:t xml:space="preserve">including variety of sources, ability to look at state and regional data and overall accessibility? What degree of confidence do you have in your current </w:t>
            </w:r>
            <w:r w:rsidR="006B3DD1">
              <w:t>LMI?</w:t>
            </w:r>
            <w:r w:rsidR="008E5DC8">
              <w:t xml:space="preserve"> What LMI data do you currently use?  </w:t>
            </w:r>
          </w:p>
        </w:tc>
        <w:tc>
          <w:tcPr>
            <w:tcW w:w="4773" w:type="dxa"/>
            <w:tcBorders>
              <w:top w:val="single" w:sz="18" w:space="0" w:color="auto"/>
              <w:bottom w:val="nil"/>
            </w:tcBorders>
            <w:shd w:val="clear" w:color="auto" w:fill="auto"/>
          </w:tcPr>
          <w:p w14:paraId="4ABBB5B7" w14:textId="77777777" w:rsidR="00F33ACA" w:rsidRDefault="00776FBA" w:rsidP="00AE7991">
            <w:pPr>
              <w:spacing w:after="0" w:line="240" w:lineRule="auto"/>
              <w:rPr>
                <w:i/>
              </w:rPr>
            </w:pPr>
            <w:r>
              <w:rPr>
                <w:i/>
              </w:rPr>
              <w:t xml:space="preserve">What investments or resources can be put toward strengthening your state’s LMI sources and use? </w:t>
            </w:r>
            <w:r w:rsidR="007F4E9E">
              <w:rPr>
                <w:i/>
              </w:rPr>
              <w:t xml:space="preserve">How </w:t>
            </w:r>
            <w:r>
              <w:rPr>
                <w:i/>
              </w:rPr>
              <w:t>can other state agencies and partners be supportive?</w:t>
            </w:r>
            <w:r w:rsidR="007166BC">
              <w:rPr>
                <w:i/>
              </w:rPr>
              <w:t xml:space="preserve"> </w:t>
            </w:r>
            <w:r w:rsidR="008E5DC8">
              <w:rPr>
                <w:i/>
              </w:rPr>
              <w:t>What LMI data do you plan to use to demonstrate labor market demand? Will you do statewide runs to determine labor market demand for a region/local</w:t>
            </w:r>
            <w:r w:rsidR="00D55017">
              <w:rPr>
                <w:i/>
              </w:rPr>
              <w:t>e,</w:t>
            </w:r>
            <w:r w:rsidR="008E5DC8">
              <w:rPr>
                <w:i/>
              </w:rPr>
              <w:t xml:space="preserve"> or will you give locals guidance to determine labor market alignment?</w:t>
            </w:r>
          </w:p>
          <w:p w14:paraId="15993EBE" w14:textId="3FCA6A57" w:rsidR="00BA5408" w:rsidRPr="00D0260D" w:rsidRDefault="008E5DC8" w:rsidP="00AE7991">
            <w:pPr>
              <w:spacing w:after="0" w:line="240" w:lineRule="auto"/>
              <w:rPr>
                <w:i/>
              </w:rPr>
            </w:pPr>
            <w:r>
              <w:rPr>
                <w:i/>
              </w:rPr>
              <w:t xml:space="preserve"> </w:t>
            </w:r>
            <w:r w:rsidR="007166BC" w:rsidRPr="00BA5408">
              <w:rPr>
                <w:b/>
                <w:i/>
                <w:caps/>
              </w:rPr>
              <w:t>Note</w:t>
            </w:r>
            <w:r w:rsidR="007166BC" w:rsidRPr="00F33ACA">
              <w:rPr>
                <w:b/>
                <w:i/>
              </w:rPr>
              <w:t>:</w:t>
            </w:r>
            <w:r w:rsidR="007166BC">
              <w:rPr>
                <w:i/>
              </w:rPr>
              <w:t xml:space="preserve"> Perkins V amends Wagner-Peyser to allow the eligible agency to access more </w:t>
            </w:r>
            <w:r w:rsidR="00D55017">
              <w:rPr>
                <w:i/>
              </w:rPr>
              <w:t>LMI</w:t>
            </w:r>
            <w:r w:rsidR="007166BC">
              <w:rPr>
                <w:i/>
              </w:rPr>
              <w:t xml:space="preserve"> that may be helpful.</w:t>
            </w:r>
          </w:p>
        </w:tc>
        <w:tc>
          <w:tcPr>
            <w:tcW w:w="5130" w:type="dxa"/>
            <w:tcBorders>
              <w:top w:val="single" w:sz="18" w:space="0" w:color="auto"/>
              <w:bottom w:val="nil"/>
            </w:tcBorders>
            <w:shd w:val="clear" w:color="auto" w:fill="auto"/>
          </w:tcPr>
          <w:p w14:paraId="3308AB9B" w14:textId="77777777" w:rsidR="00776FBA" w:rsidRDefault="00776FBA" w:rsidP="00AE7991">
            <w:pPr>
              <w:spacing w:after="0" w:line="240" w:lineRule="auto"/>
            </w:pPr>
          </w:p>
        </w:tc>
      </w:tr>
      <w:tr w:rsidR="00776FBA" w14:paraId="3C059401" w14:textId="77777777" w:rsidTr="000C011D">
        <w:trPr>
          <w:trHeight w:val="1593"/>
        </w:trPr>
        <w:tc>
          <w:tcPr>
            <w:tcW w:w="4546" w:type="dxa"/>
            <w:tcBorders>
              <w:top w:val="nil"/>
              <w:bottom w:val="single" w:sz="18" w:space="0" w:color="auto"/>
            </w:tcBorders>
            <w:shd w:val="clear" w:color="auto" w:fill="D9D9D9" w:themeFill="background1" w:themeFillShade="D9"/>
          </w:tcPr>
          <w:p w14:paraId="5FA3256E" w14:textId="77777777" w:rsidR="00776FBA" w:rsidRPr="0048294B" w:rsidRDefault="00776FBA" w:rsidP="00AE7991">
            <w:pPr>
              <w:spacing w:after="0" w:line="240" w:lineRule="auto"/>
            </w:pPr>
          </w:p>
        </w:tc>
        <w:tc>
          <w:tcPr>
            <w:tcW w:w="4773" w:type="dxa"/>
            <w:tcBorders>
              <w:top w:val="nil"/>
              <w:bottom w:val="single" w:sz="18" w:space="0" w:color="auto"/>
            </w:tcBorders>
            <w:shd w:val="clear" w:color="auto" w:fill="D9D9D9" w:themeFill="background1" w:themeFillShade="D9"/>
          </w:tcPr>
          <w:p w14:paraId="10DFE586" w14:textId="77777777" w:rsidR="00776FBA" w:rsidRDefault="00776FBA" w:rsidP="00AE7991">
            <w:pPr>
              <w:spacing w:after="0" w:line="240" w:lineRule="auto"/>
            </w:pPr>
          </w:p>
        </w:tc>
        <w:tc>
          <w:tcPr>
            <w:tcW w:w="5130" w:type="dxa"/>
            <w:tcBorders>
              <w:top w:val="nil"/>
              <w:bottom w:val="single" w:sz="18" w:space="0" w:color="auto"/>
            </w:tcBorders>
            <w:shd w:val="clear" w:color="auto" w:fill="D9D9D9" w:themeFill="background1" w:themeFillShade="D9"/>
          </w:tcPr>
          <w:p w14:paraId="7875031E" w14:textId="77777777" w:rsidR="00776FBA" w:rsidRDefault="00776FBA" w:rsidP="00AE7991">
            <w:pPr>
              <w:spacing w:after="0" w:line="240" w:lineRule="auto"/>
            </w:pPr>
          </w:p>
        </w:tc>
      </w:tr>
      <w:tr w:rsidR="009948AB" w14:paraId="7C1559D8" w14:textId="77777777">
        <w:trPr>
          <w:trHeight w:val="1737"/>
        </w:trPr>
        <w:tc>
          <w:tcPr>
            <w:tcW w:w="4546" w:type="dxa"/>
            <w:tcBorders>
              <w:top w:val="single" w:sz="18" w:space="0" w:color="auto"/>
              <w:bottom w:val="nil"/>
            </w:tcBorders>
            <w:shd w:val="clear" w:color="auto" w:fill="auto"/>
          </w:tcPr>
          <w:p w14:paraId="3D0BB8D0" w14:textId="6B9A0992" w:rsidR="006B3DD1" w:rsidRPr="006B3DD1" w:rsidRDefault="006B3DD1" w:rsidP="00AE7991">
            <w:pPr>
              <w:spacing w:after="0" w:line="240" w:lineRule="auto"/>
            </w:pPr>
            <w:r w:rsidRPr="006B3DD1">
              <w:t xml:space="preserve">Looking at your state’s definitions of </w:t>
            </w:r>
            <w:r w:rsidR="00D55017">
              <w:t>“</w:t>
            </w:r>
            <w:r w:rsidRPr="006B3DD1">
              <w:t>high</w:t>
            </w:r>
            <w:r w:rsidR="00D55017">
              <w:t xml:space="preserve"> </w:t>
            </w:r>
            <w:r w:rsidRPr="006B3DD1">
              <w:t>skill,</w:t>
            </w:r>
            <w:r w:rsidR="00D55017">
              <w:t>”</w:t>
            </w:r>
            <w:r w:rsidRPr="006B3DD1">
              <w:t xml:space="preserve"> </w:t>
            </w:r>
            <w:r w:rsidR="00D55017">
              <w:t>“</w:t>
            </w:r>
            <w:r w:rsidRPr="006B3DD1">
              <w:t>high</w:t>
            </w:r>
            <w:r w:rsidR="00D55017">
              <w:t xml:space="preserve"> </w:t>
            </w:r>
            <w:r w:rsidRPr="006B3DD1">
              <w:t>wage</w:t>
            </w:r>
            <w:r w:rsidR="00D55017">
              <w:t>”</w:t>
            </w:r>
            <w:r w:rsidRPr="006B3DD1">
              <w:t xml:space="preserve"> and </w:t>
            </w:r>
            <w:r w:rsidR="00D55017">
              <w:t>“</w:t>
            </w:r>
            <w:r w:rsidRPr="006B3DD1">
              <w:t>in</w:t>
            </w:r>
            <w:r w:rsidR="00D55017">
              <w:t xml:space="preserve"> </w:t>
            </w:r>
            <w:r w:rsidRPr="006B3DD1">
              <w:t>demand,</w:t>
            </w:r>
            <w:r w:rsidR="00D55017">
              <w:t>”</w:t>
            </w:r>
            <w:r w:rsidR="008E5DC8">
              <w:t xml:space="preserve"> do you have definitions for all three</w:t>
            </w:r>
            <w:r w:rsidR="00D55017">
              <w:t xml:space="preserve"> terms</w:t>
            </w:r>
            <w:r w:rsidR="008E5DC8">
              <w:t>? A</w:t>
            </w:r>
            <w:r w:rsidRPr="006B3DD1">
              <w:t xml:space="preserve">re these definitions shared among multiple state agencies? </w:t>
            </w:r>
            <w:r w:rsidR="00BA5408">
              <w:t>How are they used in the CTE system?</w:t>
            </w:r>
          </w:p>
          <w:p w14:paraId="05BDE439" w14:textId="77777777" w:rsidR="009948AB" w:rsidRPr="006B3DD1" w:rsidRDefault="009948AB" w:rsidP="00AE7991">
            <w:pPr>
              <w:spacing w:after="0" w:line="240" w:lineRule="auto"/>
              <w:rPr>
                <w:i/>
              </w:rPr>
            </w:pPr>
          </w:p>
        </w:tc>
        <w:tc>
          <w:tcPr>
            <w:tcW w:w="4773" w:type="dxa"/>
            <w:tcBorders>
              <w:top w:val="single" w:sz="18" w:space="0" w:color="auto"/>
              <w:bottom w:val="nil"/>
            </w:tcBorders>
            <w:shd w:val="clear" w:color="auto" w:fill="auto"/>
          </w:tcPr>
          <w:p w14:paraId="60E91E52" w14:textId="0F6E1CBB" w:rsidR="006B3DD1" w:rsidRPr="006B3DD1" w:rsidRDefault="008E5DC8" w:rsidP="00AE7991">
            <w:pPr>
              <w:spacing w:after="0" w:line="240" w:lineRule="auto"/>
              <w:rPr>
                <w:i/>
              </w:rPr>
            </w:pPr>
            <w:r>
              <w:rPr>
                <w:i/>
              </w:rPr>
              <w:t>If you do not have a definition</w:t>
            </w:r>
            <w:r w:rsidR="00D55017">
              <w:rPr>
                <w:i/>
              </w:rPr>
              <w:t xml:space="preserve"> for each term</w:t>
            </w:r>
            <w:r>
              <w:rPr>
                <w:i/>
              </w:rPr>
              <w:t xml:space="preserve">, what will be the process for establishing </w:t>
            </w:r>
            <w:r w:rsidR="00D55017">
              <w:rPr>
                <w:i/>
              </w:rPr>
              <w:t xml:space="preserve">a </w:t>
            </w:r>
            <w:r>
              <w:rPr>
                <w:i/>
              </w:rPr>
              <w:t xml:space="preserve">definition? </w:t>
            </w:r>
            <w:r w:rsidR="006B3DD1" w:rsidRPr="006B3DD1">
              <w:rPr>
                <w:i/>
              </w:rPr>
              <w:t xml:space="preserve">If different definitions </w:t>
            </w:r>
            <w:r w:rsidR="00D55017">
              <w:rPr>
                <w:i/>
              </w:rPr>
              <w:t xml:space="preserve">are </w:t>
            </w:r>
            <w:r w:rsidR="006B3DD1" w:rsidRPr="006B3DD1">
              <w:rPr>
                <w:i/>
              </w:rPr>
              <w:t xml:space="preserve">used within your state, how will you reconcile the differences? </w:t>
            </w:r>
          </w:p>
          <w:p w14:paraId="6A3D11CB" w14:textId="7799A173" w:rsidR="009948AB" w:rsidRDefault="006B3DD1" w:rsidP="00AE7991">
            <w:pPr>
              <w:spacing w:after="0" w:line="240" w:lineRule="auto"/>
              <w:rPr>
                <w:i/>
              </w:rPr>
            </w:pPr>
            <w:r w:rsidRPr="006B3DD1">
              <w:rPr>
                <w:i/>
              </w:rPr>
              <w:t xml:space="preserve">Do you or will you plan to use all three terms </w:t>
            </w:r>
            <w:r w:rsidR="00D55017">
              <w:rPr>
                <w:i/>
              </w:rPr>
              <w:t>—</w:t>
            </w:r>
            <w:r w:rsidR="00814D4B">
              <w:rPr>
                <w:i/>
              </w:rPr>
              <w:t xml:space="preserve"> </w:t>
            </w:r>
            <w:r w:rsidR="007F4E9E">
              <w:rPr>
                <w:i/>
              </w:rPr>
              <w:t>“</w:t>
            </w:r>
            <w:r w:rsidRPr="006B3DD1">
              <w:rPr>
                <w:i/>
              </w:rPr>
              <w:t>high</w:t>
            </w:r>
            <w:r w:rsidR="00D55017">
              <w:rPr>
                <w:i/>
              </w:rPr>
              <w:t xml:space="preserve"> </w:t>
            </w:r>
            <w:r w:rsidRPr="006B3DD1">
              <w:rPr>
                <w:i/>
              </w:rPr>
              <w:t>skill,</w:t>
            </w:r>
            <w:r w:rsidR="007F4E9E">
              <w:rPr>
                <w:i/>
              </w:rPr>
              <w:t>”</w:t>
            </w:r>
            <w:r w:rsidRPr="006B3DD1">
              <w:rPr>
                <w:i/>
              </w:rPr>
              <w:t xml:space="preserve"> </w:t>
            </w:r>
            <w:r w:rsidR="007F4E9E">
              <w:rPr>
                <w:i/>
              </w:rPr>
              <w:t>“</w:t>
            </w:r>
            <w:r w:rsidRPr="006B3DD1">
              <w:rPr>
                <w:i/>
              </w:rPr>
              <w:t>high</w:t>
            </w:r>
            <w:r w:rsidR="00D55017">
              <w:rPr>
                <w:i/>
              </w:rPr>
              <w:t xml:space="preserve"> </w:t>
            </w:r>
            <w:r w:rsidRPr="006B3DD1">
              <w:rPr>
                <w:i/>
              </w:rPr>
              <w:t>wage</w:t>
            </w:r>
            <w:r w:rsidR="007F4E9E">
              <w:rPr>
                <w:i/>
              </w:rPr>
              <w:t>”</w:t>
            </w:r>
            <w:r w:rsidRPr="006B3DD1">
              <w:rPr>
                <w:i/>
              </w:rPr>
              <w:t xml:space="preserve"> and </w:t>
            </w:r>
            <w:r w:rsidR="007F4E9E">
              <w:rPr>
                <w:i/>
              </w:rPr>
              <w:t>“</w:t>
            </w:r>
            <w:r w:rsidRPr="006B3DD1">
              <w:rPr>
                <w:i/>
              </w:rPr>
              <w:t>in</w:t>
            </w:r>
            <w:r w:rsidR="00D55017">
              <w:rPr>
                <w:i/>
              </w:rPr>
              <w:t xml:space="preserve"> </w:t>
            </w:r>
            <w:r w:rsidRPr="006B3DD1">
              <w:rPr>
                <w:i/>
              </w:rPr>
              <w:t>demand</w:t>
            </w:r>
            <w:r w:rsidR="007F4E9E">
              <w:rPr>
                <w:i/>
              </w:rPr>
              <w:t>”</w:t>
            </w:r>
            <w:r w:rsidR="00D55017">
              <w:rPr>
                <w:i/>
              </w:rPr>
              <w:t xml:space="preserve"> —</w:t>
            </w:r>
            <w:r w:rsidR="00D55017" w:rsidRPr="006B3DD1">
              <w:rPr>
                <w:i/>
              </w:rPr>
              <w:t xml:space="preserve"> in concert</w:t>
            </w:r>
            <w:r w:rsidRPr="006B3DD1">
              <w:rPr>
                <w:i/>
              </w:rPr>
              <w:t>? If not, which do you use</w:t>
            </w:r>
            <w:r w:rsidR="007F4E9E">
              <w:rPr>
                <w:i/>
              </w:rPr>
              <w:t>/plan to use</w:t>
            </w:r>
            <w:r w:rsidRPr="006B3DD1">
              <w:rPr>
                <w:i/>
              </w:rPr>
              <w:t xml:space="preserve"> and why?</w:t>
            </w:r>
          </w:p>
          <w:p w14:paraId="43E08910" w14:textId="77777777" w:rsidR="00BA5408" w:rsidRPr="006B3DD1" w:rsidRDefault="00BA5408" w:rsidP="00AE7991">
            <w:pPr>
              <w:spacing w:after="0" w:line="240" w:lineRule="auto"/>
              <w:rPr>
                <w:i/>
              </w:rPr>
            </w:pPr>
          </w:p>
        </w:tc>
        <w:tc>
          <w:tcPr>
            <w:tcW w:w="5130" w:type="dxa"/>
            <w:tcBorders>
              <w:top w:val="single" w:sz="18" w:space="0" w:color="auto"/>
              <w:bottom w:val="nil"/>
            </w:tcBorders>
            <w:shd w:val="clear" w:color="auto" w:fill="auto"/>
          </w:tcPr>
          <w:p w14:paraId="17F70F5E" w14:textId="77777777" w:rsidR="009948AB" w:rsidRDefault="009948AB" w:rsidP="00AE7991">
            <w:pPr>
              <w:spacing w:after="0" w:line="240" w:lineRule="auto"/>
            </w:pPr>
          </w:p>
        </w:tc>
      </w:tr>
      <w:tr w:rsidR="009948AB" w14:paraId="7617473A" w14:textId="77777777" w:rsidTr="000C011D">
        <w:trPr>
          <w:trHeight w:val="1980"/>
        </w:trPr>
        <w:tc>
          <w:tcPr>
            <w:tcW w:w="4546" w:type="dxa"/>
            <w:tcBorders>
              <w:top w:val="nil"/>
              <w:bottom w:val="single" w:sz="18" w:space="0" w:color="auto"/>
            </w:tcBorders>
            <w:shd w:val="clear" w:color="auto" w:fill="D9D9D9" w:themeFill="background1" w:themeFillShade="D9"/>
          </w:tcPr>
          <w:p w14:paraId="5A24A55C" w14:textId="77777777" w:rsidR="009948AB" w:rsidRPr="0048294B" w:rsidRDefault="009948AB" w:rsidP="00AE7991">
            <w:pPr>
              <w:spacing w:after="0" w:line="240" w:lineRule="auto"/>
            </w:pPr>
          </w:p>
        </w:tc>
        <w:tc>
          <w:tcPr>
            <w:tcW w:w="4773" w:type="dxa"/>
            <w:tcBorders>
              <w:top w:val="nil"/>
              <w:bottom w:val="single" w:sz="18" w:space="0" w:color="auto"/>
            </w:tcBorders>
            <w:shd w:val="clear" w:color="auto" w:fill="D9D9D9" w:themeFill="background1" w:themeFillShade="D9"/>
          </w:tcPr>
          <w:p w14:paraId="4AE897DB" w14:textId="77777777" w:rsidR="009948AB" w:rsidRDefault="009948AB" w:rsidP="00AE7991">
            <w:pPr>
              <w:spacing w:after="0" w:line="240" w:lineRule="auto"/>
            </w:pPr>
          </w:p>
        </w:tc>
        <w:tc>
          <w:tcPr>
            <w:tcW w:w="5130" w:type="dxa"/>
            <w:tcBorders>
              <w:top w:val="nil"/>
              <w:bottom w:val="single" w:sz="18" w:space="0" w:color="auto"/>
            </w:tcBorders>
            <w:shd w:val="clear" w:color="auto" w:fill="D9D9D9" w:themeFill="background1" w:themeFillShade="D9"/>
          </w:tcPr>
          <w:p w14:paraId="581699CE" w14:textId="77777777" w:rsidR="009948AB" w:rsidRDefault="009948AB" w:rsidP="00AE7991">
            <w:pPr>
              <w:spacing w:after="0" w:line="240" w:lineRule="auto"/>
            </w:pPr>
          </w:p>
        </w:tc>
      </w:tr>
      <w:tr w:rsidR="00776FBA" w14:paraId="227BDA1B" w14:textId="77777777">
        <w:tc>
          <w:tcPr>
            <w:tcW w:w="4546" w:type="dxa"/>
            <w:tcBorders>
              <w:top w:val="single" w:sz="18" w:space="0" w:color="auto"/>
              <w:bottom w:val="nil"/>
            </w:tcBorders>
            <w:shd w:val="clear" w:color="auto" w:fill="auto"/>
          </w:tcPr>
          <w:p w14:paraId="761482A3" w14:textId="5BD3B349" w:rsidR="00776FBA" w:rsidRDefault="00776FBA" w:rsidP="00AE7991">
            <w:pPr>
              <w:spacing w:after="0" w:line="240" w:lineRule="auto"/>
            </w:pPr>
            <w:r>
              <w:t xml:space="preserve">To what degree do local </w:t>
            </w:r>
            <w:r w:rsidR="00AF45ED">
              <w:t xml:space="preserve">eligible </w:t>
            </w:r>
            <w:r>
              <w:t xml:space="preserve">recipients have the capacity to access and use </w:t>
            </w:r>
            <w:r w:rsidR="007F4E9E">
              <w:t xml:space="preserve">LMI </w:t>
            </w:r>
            <w:r>
              <w:t xml:space="preserve">to improve program design and delivery? </w:t>
            </w:r>
            <w:r w:rsidRPr="00D0260D">
              <w:t>What statewide strategies and activities currently support</w:t>
            </w:r>
            <w:r>
              <w:t xml:space="preserve"> that local capacity for LMI analysis and use?</w:t>
            </w:r>
          </w:p>
          <w:p w14:paraId="0BE4B01D" w14:textId="77777777" w:rsidR="00776FBA" w:rsidRPr="0048294B" w:rsidRDefault="00776FBA" w:rsidP="00AE7991">
            <w:pPr>
              <w:spacing w:after="0" w:line="240" w:lineRule="auto"/>
            </w:pPr>
          </w:p>
        </w:tc>
        <w:tc>
          <w:tcPr>
            <w:tcW w:w="4773" w:type="dxa"/>
            <w:tcBorders>
              <w:top w:val="single" w:sz="18" w:space="0" w:color="auto"/>
              <w:bottom w:val="nil"/>
            </w:tcBorders>
            <w:shd w:val="clear" w:color="auto" w:fill="auto"/>
          </w:tcPr>
          <w:p w14:paraId="5F44F69D" w14:textId="6391D0C2" w:rsidR="00776FBA" w:rsidRPr="00933E2E" w:rsidRDefault="00776FBA" w:rsidP="00AE7991">
            <w:pPr>
              <w:spacing w:after="0" w:line="240" w:lineRule="auto"/>
              <w:rPr>
                <w:i/>
              </w:rPr>
            </w:pPr>
            <w:r w:rsidRPr="00933E2E">
              <w:rPr>
                <w:i/>
              </w:rPr>
              <w:t xml:space="preserve">What strategies need to be sustained and added to support local capacity for </w:t>
            </w:r>
            <w:r>
              <w:rPr>
                <w:i/>
              </w:rPr>
              <w:t>LMI</w:t>
            </w:r>
            <w:r w:rsidRPr="00933E2E">
              <w:rPr>
                <w:i/>
              </w:rPr>
              <w:t xml:space="preserve"> analysis and use?</w:t>
            </w:r>
            <w:r w:rsidR="007166BC">
              <w:rPr>
                <w:i/>
              </w:rPr>
              <w:t xml:space="preserve"> </w:t>
            </w:r>
            <w:r w:rsidR="007166BC" w:rsidRPr="00BA5408">
              <w:rPr>
                <w:b/>
                <w:i/>
                <w:caps/>
              </w:rPr>
              <w:t>Note</w:t>
            </w:r>
            <w:r w:rsidR="007166BC" w:rsidRPr="00F33ACA">
              <w:rPr>
                <w:b/>
                <w:i/>
              </w:rPr>
              <w:t>:</w:t>
            </w:r>
            <w:r w:rsidR="007166BC">
              <w:rPr>
                <w:i/>
              </w:rPr>
              <w:t xml:space="preserve"> Perkins V amends Wagner-Peyser to allow the eligible agency to access more </w:t>
            </w:r>
            <w:r w:rsidR="00AA2740">
              <w:rPr>
                <w:i/>
              </w:rPr>
              <w:t xml:space="preserve">LMI </w:t>
            </w:r>
            <w:r w:rsidR="007166BC">
              <w:rPr>
                <w:i/>
              </w:rPr>
              <w:t>that may be helpful.</w:t>
            </w:r>
          </w:p>
        </w:tc>
        <w:tc>
          <w:tcPr>
            <w:tcW w:w="5130" w:type="dxa"/>
            <w:tcBorders>
              <w:top w:val="single" w:sz="18" w:space="0" w:color="auto"/>
              <w:bottom w:val="nil"/>
            </w:tcBorders>
            <w:shd w:val="clear" w:color="auto" w:fill="auto"/>
          </w:tcPr>
          <w:p w14:paraId="73B5DA12" w14:textId="77777777" w:rsidR="00776FBA" w:rsidRPr="00933E2E" w:rsidRDefault="00776FBA" w:rsidP="00AE7991">
            <w:pPr>
              <w:spacing w:after="0" w:line="240" w:lineRule="auto"/>
              <w:rPr>
                <w:i/>
              </w:rPr>
            </w:pPr>
          </w:p>
        </w:tc>
      </w:tr>
      <w:tr w:rsidR="00776FBA" w14:paraId="3D57599F" w14:textId="77777777">
        <w:trPr>
          <w:trHeight w:val="2043"/>
        </w:trPr>
        <w:tc>
          <w:tcPr>
            <w:tcW w:w="4546" w:type="dxa"/>
            <w:tcBorders>
              <w:top w:val="nil"/>
              <w:bottom w:val="single" w:sz="18" w:space="0" w:color="auto"/>
            </w:tcBorders>
            <w:shd w:val="clear" w:color="auto" w:fill="D9D9D9" w:themeFill="background1" w:themeFillShade="D9"/>
          </w:tcPr>
          <w:p w14:paraId="046AF123" w14:textId="77777777" w:rsidR="00776FBA" w:rsidRPr="0048294B" w:rsidRDefault="00776FBA" w:rsidP="00AE7991">
            <w:pPr>
              <w:spacing w:after="0" w:line="240" w:lineRule="auto"/>
            </w:pPr>
          </w:p>
        </w:tc>
        <w:tc>
          <w:tcPr>
            <w:tcW w:w="4773" w:type="dxa"/>
            <w:tcBorders>
              <w:top w:val="nil"/>
              <w:bottom w:val="single" w:sz="18" w:space="0" w:color="auto"/>
            </w:tcBorders>
            <w:shd w:val="clear" w:color="auto" w:fill="D9D9D9" w:themeFill="background1" w:themeFillShade="D9"/>
          </w:tcPr>
          <w:p w14:paraId="15B18F74" w14:textId="77777777" w:rsidR="00776FBA" w:rsidRDefault="00776FBA" w:rsidP="00AE7991">
            <w:pPr>
              <w:spacing w:after="0" w:line="240" w:lineRule="auto"/>
            </w:pPr>
          </w:p>
        </w:tc>
        <w:tc>
          <w:tcPr>
            <w:tcW w:w="5130" w:type="dxa"/>
            <w:tcBorders>
              <w:top w:val="nil"/>
              <w:bottom w:val="single" w:sz="18" w:space="0" w:color="auto"/>
            </w:tcBorders>
            <w:shd w:val="clear" w:color="auto" w:fill="D9D9D9" w:themeFill="background1" w:themeFillShade="D9"/>
          </w:tcPr>
          <w:p w14:paraId="57D91068" w14:textId="77777777" w:rsidR="00776FBA" w:rsidRDefault="00776FBA" w:rsidP="00AE7991">
            <w:pPr>
              <w:spacing w:after="0" w:line="240" w:lineRule="auto"/>
            </w:pPr>
          </w:p>
        </w:tc>
      </w:tr>
    </w:tbl>
    <w:p w14:paraId="5B15FB8E" w14:textId="77777777" w:rsidR="003807F6" w:rsidRDefault="003807F6" w:rsidP="00AE7991">
      <w:pPr>
        <w:spacing w:after="0" w:line="240" w:lineRule="auto"/>
      </w:pPr>
      <w:r>
        <w:br w:type="page"/>
      </w:r>
    </w:p>
    <w:p w14:paraId="75606BC5" w14:textId="6C028920" w:rsidR="00726F06" w:rsidRPr="00150D9C" w:rsidRDefault="00726F06" w:rsidP="00AE7991">
      <w:pPr>
        <w:pStyle w:val="Heading3"/>
        <w:spacing w:line="240" w:lineRule="auto"/>
        <w:rPr>
          <w:color w:val="FFFFFF" w:themeColor="background1"/>
          <w:sz w:val="14"/>
        </w:rPr>
      </w:pPr>
    </w:p>
    <w:tbl>
      <w:tblPr>
        <w:tblStyle w:val="TableGrid"/>
        <w:tblW w:w="14557" w:type="dxa"/>
        <w:tblLook w:val="04A0" w:firstRow="1" w:lastRow="0" w:firstColumn="1" w:lastColumn="0" w:noHBand="0" w:noVBand="1"/>
      </w:tblPr>
      <w:tblGrid>
        <w:gridCol w:w="4546"/>
        <w:gridCol w:w="4791"/>
        <w:gridCol w:w="5220"/>
      </w:tblGrid>
      <w:tr w:rsidR="005E6AAD" w14:paraId="120B4E6A" w14:textId="77777777">
        <w:trPr>
          <w:trHeight w:val="540"/>
          <w:tblHeader/>
        </w:trPr>
        <w:tc>
          <w:tcPr>
            <w:tcW w:w="4546" w:type="dxa"/>
            <w:tcBorders>
              <w:top w:val="single" w:sz="18" w:space="0" w:color="auto"/>
              <w:left w:val="single" w:sz="18" w:space="0" w:color="auto"/>
              <w:right w:val="nil"/>
            </w:tcBorders>
            <w:shd w:val="clear" w:color="auto" w:fill="002060"/>
            <w:vAlign w:val="center"/>
          </w:tcPr>
          <w:p w14:paraId="0F136812" w14:textId="7807B0D9" w:rsidR="005E6AAD" w:rsidRPr="00BD1EFF" w:rsidRDefault="005E6AAD" w:rsidP="00AE7991">
            <w:pPr>
              <w:spacing w:after="0" w:line="240" w:lineRule="auto"/>
              <w:jc w:val="center"/>
              <w:rPr>
                <w:b/>
                <w:sz w:val="24"/>
              </w:rPr>
            </w:pPr>
            <w:r w:rsidRPr="00BD1EFF">
              <w:rPr>
                <w:b/>
                <w:sz w:val="24"/>
              </w:rPr>
              <w:t xml:space="preserve">Reflect on </w:t>
            </w:r>
            <w:r w:rsidR="00AA2740">
              <w:rPr>
                <w:b/>
                <w:sz w:val="24"/>
              </w:rPr>
              <w:t>Y</w:t>
            </w:r>
            <w:r w:rsidR="00AA2740" w:rsidRPr="00BD1EFF">
              <w:rPr>
                <w:b/>
                <w:sz w:val="24"/>
              </w:rPr>
              <w:t xml:space="preserve">our </w:t>
            </w:r>
            <w:r w:rsidRPr="00BD1EFF">
              <w:rPr>
                <w:b/>
                <w:sz w:val="24"/>
              </w:rPr>
              <w:t xml:space="preserve">Current </w:t>
            </w:r>
            <w:r w:rsidR="00AA2740">
              <w:rPr>
                <w:b/>
                <w:sz w:val="24"/>
              </w:rPr>
              <w:t>S</w:t>
            </w:r>
            <w:r w:rsidR="00AA2740" w:rsidRPr="00BD1EFF">
              <w:rPr>
                <w:b/>
                <w:sz w:val="24"/>
              </w:rPr>
              <w:t>ystem</w:t>
            </w:r>
          </w:p>
        </w:tc>
        <w:tc>
          <w:tcPr>
            <w:tcW w:w="4791" w:type="dxa"/>
            <w:tcBorders>
              <w:top w:val="single" w:sz="18" w:space="0" w:color="auto"/>
              <w:left w:val="nil"/>
              <w:right w:val="nil"/>
            </w:tcBorders>
            <w:shd w:val="clear" w:color="auto" w:fill="002060"/>
            <w:vAlign w:val="center"/>
          </w:tcPr>
          <w:p w14:paraId="768C259F" w14:textId="77777777" w:rsidR="005E6AAD" w:rsidRPr="00BD1EFF" w:rsidRDefault="005E6AAD" w:rsidP="00AE7991">
            <w:pPr>
              <w:spacing w:after="0" w:line="240" w:lineRule="auto"/>
              <w:jc w:val="center"/>
              <w:rPr>
                <w:b/>
                <w:sz w:val="24"/>
              </w:rPr>
            </w:pPr>
            <w:r w:rsidRPr="00BD1EFF">
              <w:rPr>
                <w:b/>
                <w:sz w:val="24"/>
              </w:rPr>
              <w:t>Look Forward</w:t>
            </w:r>
          </w:p>
        </w:tc>
        <w:tc>
          <w:tcPr>
            <w:tcW w:w="5220" w:type="dxa"/>
            <w:tcBorders>
              <w:top w:val="single" w:sz="18" w:space="0" w:color="auto"/>
              <w:left w:val="nil"/>
              <w:right w:val="single" w:sz="18" w:space="0" w:color="auto"/>
            </w:tcBorders>
            <w:shd w:val="clear" w:color="auto" w:fill="002060"/>
            <w:vAlign w:val="center"/>
          </w:tcPr>
          <w:p w14:paraId="798C2F9B" w14:textId="1CA52E17" w:rsidR="005E6AAD" w:rsidRPr="00BD1EFF" w:rsidRDefault="00F51CC7" w:rsidP="00AE7991">
            <w:pPr>
              <w:spacing w:after="0" w:line="240" w:lineRule="auto"/>
              <w:jc w:val="center"/>
              <w:rPr>
                <w:b/>
                <w:sz w:val="24"/>
              </w:rPr>
            </w:pPr>
            <w:r w:rsidRPr="00BD1EFF">
              <w:rPr>
                <w:b/>
                <w:sz w:val="24"/>
              </w:rPr>
              <w:t xml:space="preserve">What </w:t>
            </w:r>
            <w:r>
              <w:rPr>
                <w:b/>
                <w:sz w:val="24"/>
              </w:rPr>
              <w:t xml:space="preserve">Partners &amp; </w:t>
            </w:r>
            <w:r w:rsidRPr="00BD1EFF">
              <w:rPr>
                <w:b/>
                <w:sz w:val="24"/>
              </w:rPr>
              <w:t>Stakeholders Say</w:t>
            </w:r>
            <w:r>
              <w:rPr>
                <w:b/>
                <w:sz w:val="24"/>
              </w:rPr>
              <w:br/>
            </w:r>
            <w:r w:rsidRPr="00E64B0B">
              <w:rPr>
                <w:i/>
                <w:sz w:val="20"/>
              </w:rPr>
              <w:t>This may be filled in later in the planning process</w:t>
            </w:r>
          </w:p>
        </w:tc>
      </w:tr>
      <w:tr w:rsidR="005E6AAD" w14:paraId="67FAF649" w14:textId="77777777">
        <w:tblPrEx>
          <w:tblBorders>
            <w:insideV w:val="none" w:sz="0" w:space="0" w:color="auto"/>
          </w:tblBorders>
        </w:tblPrEx>
        <w:trPr>
          <w:trHeight w:val="440"/>
          <w:tblHeader/>
        </w:trPr>
        <w:tc>
          <w:tcPr>
            <w:tcW w:w="14557" w:type="dxa"/>
            <w:gridSpan w:val="3"/>
            <w:tcBorders>
              <w:top w:val="single" w:sz="4" w:space="0" w:color="auto"/>
              <w:left w:val="single" w:sz="18" w:space="0" w:color="auto"/>
              <w:bottom w:val="single" w:sz="18" w:space="0" w:color="auto"/>
              <w:right w:val="single" w:sz="18" w:space="0" w:color="auto"/>
            </w:tcBorders>
            <w:shd w:val="clear" w:color="auto" w:fill="7AB800"/>
            <w:vAlign w:val="center"/>
          </w:tcPr>
          <w:p w14:paraId="56CBEAC9" w14:textId="77777777" w:rsidR="005E6AAD" w:rsidRPr="00BD1EFF" w:rsidRDefault="005E6AAD" w:rsidP="00AE7991">
            <w:pPr>
              <w:spacing w:after="0" w:line="240" w:lineRule="auto"/>
              <w:jc w:val="center"/>
              <w:rPr>
                <w:sz w:val="24"/>
              </w:rPr>
            </w:pPr>
            <w:r w:rsidRPr="00BD1EFF">
              <w:rPr>
                <w:b/>
                <w:sz w:val="24"/>
              </w:rPr>
              <w:t>EQUITY</w:t>
            </w:r>
            <w:r w:rsidR="003807F6">
              <w:rPr>
                <w:b/>
                <w:sz w:val="24"/>
              </w:rPr>
              <w:t xml:space="preserve"> &amp; ACCESS</w:t>
            </w:r>
          </w:p>
        </w:tc>
      </w:tr>
      <w:tr w:rsidR="00D0260D" w14:paraId="36EDB5B8" w14:textId="77777777">
        <w:tblPrEx>
          <w:tblBorders>
            <w:insideV w:val="none" w:sz="0" w:space="0" w:color="auto"/>
          </w:tblBorders>
        </w:tblPrEx>
        <w:tc>
          <w:tcPr>
            <w:tcW w:w="4546" w:type="dxa"/>
            <w:tcBorders>
              <w:top w:val="single" w:sz="18" w:space="0" w:color="auto"/>
              <w:left w:val="single" w:sz="18" w:space="0" w:color="auto"/>
              <w:bottom w:val="nil"/>
              <w:right w:val="single" w:sz="2" w:space="0" w:color="auto"/>
            </w:tcBorders>
          </w:tcPr>
          <w:p w14:paraId="21C7437C" w14:textId="07E5E38D" w:rsidR="00FA46B5" w:rsidRDefault="00D0260D" w:rsidP="00AE7991">
            <w:pPr>
              <w:spacing w:after="0" w:line="240" w:lineRule="auto"/>
            </w:pPr>
            <w:r w:rsidRPr="00D72C0C">
              <w:t>What do your data tell you</w:t>
            </w:r>
            <w:r w:rsidR="007F4E9E">
              <w:t xml:space="preserve"> about</w:t>
            </w:r>
            <w:r w:rsidR="00FA46B5">
              <w:t>:</w:t>
            </w:r>
          </w:p>
          <w:p w14:paraId="7474B446" w14:textId="11AC33A6" w:rsidR="00FA46B5" w:rsidRDefault="007F4E9E" w:rsidP="00AE7991">
            <w:pPr>
              <w:pStyle w:val="ListParagraph"/>
              <w:numPr>
                <w:ilvl w:val="0"/>
                <w:numId w:val="16"/>
              </w:numPr>
              <w:spacing w:after="0" w:line="240" w:lineRule="auto"/>
            </w:pPr>
            <w:r>
              <w:t>T</w:t>
            </w:r>
            <w:r w:rsidR="00A42757">
              <w:t xml:space="preserve">he </w:t>
            </w:r>
            <w:r w:rsidR="00D0260D" w:rsidRPr="00D72C0C">
              <w:t>current demographic makeup of CTE programs</w:t>
            </w:r>
            <w:r w:rsidR="00B7020F">
              <w:t xml:space="preserve"> and </w:t>
            </w:r>
            <w:r w:rsidR="00F00276">
              <w:t>programs of study</w:t>
            </w:r>
            <w:r w:rsidR="00D0260D" w:rsidRPr="00D72C0C">
              <w:t xml:space="preserve">? </w:t>
            </w:r>
          </w:p>
          <w:p w14:paraId="3C34E587" w14:textId="1B83D090" w:rsidR="00FA46B5" w:rsidRDefault="00D0260D" w:rsidP="00AE7991">
            <w:pPr>
              <w:pStyle w:val="ListParagraph"/>
              <w:numPr>
                <w:ilvl w:val="0"/>
                <w:numId w:val="16"/>
              </w:numPr>
              <w:spacing w:after="0" w:line="240" w:lineRule="auto"/>
            </w:pPr>
            <w:r w:rsidRPr="00D72C0C">
              <w:t xml:space="preserve">How </w:t>
            </w:r>
            <w:r w:rsidR="000001E1">
              <w:t>those demographics</w:t>
            </w:r>
            <w:r w:rsidR="000001E1" w:rsidRPr="00D72C0C">
              <w:t xml:space="preserve"> </w:t>
            </w:r>
            <w:r w:rsidRPr="00D72C0C">
              <w:t xml:space="preserve">compare to </w:t>
            </w:r>
            <w:r w:rsidR="00A42757">
              <w:t xml:space="preserve">the </w:t>
            </w:r>
            <w:r w:rsidRPr="00D72C0C">
              <w:t xml:space="preserve">overall </w:t>
            </w:r>
            <w:r w:rsidR="00150D9C">
              <w:t>learner</w:t>
            </w:r>
            <w:r w:rsidRPr="00D72C0C">
              <w:t xml:space="preserve"> population statewide and at the local level?  </w:t>
            </w:r>
          </w:p>
          <w:p w14:paraId="54564EDF" w14:textId="2AE4DFF5" w:rsidR="00D0260D" w:rsidRPr="005B2379" w:rsidRDefault="00D0260D" w:rsidP="00F51CC7">
            <w:pPr>
              <w:pStyle w:val="ListParagraph"/>
              <w:numPr>
                <w:ilvl w:val="0"/>
                <w:numId w:val="16"/>
              </w:numPr>
              <w:spacing w:after="0" w:line="240" w:lineRule="auto"/>
            </w:pPr>
            <w:r w:rsidRPr="00D72C0C">
              <w:t>How CTE outcomes compare by learner population</w:t>
            </w:r>
            <w:r w:rsidR="00F51CC7">
              <w:t xml:space="preserve"> (i.e.,</w:t>
            </w:r>
            <w:r w:rsidR="00150D9C">
              <w:t xml:space="preserve"> special populations and sub-groups)</w:t>
            </w:r>
            <w:r w:rsidRPr="00D72C0C">
              <w:t>?</w:t>
            </w:r>
          </w:p>
        </w:tc>
        <w:tc>
          <w:tcPr>
            <w:tcW w:w="4791" w:type="dxa"/>
            <w:tcBorders>
              <w:top w:val="single" w:sz="18" w:space="0" w:color="auto"/>
              <w:left w:val="single" w:sz="2" w:space="0" w:color="auto"/>
              <w:bottom w:val="nil"/>
              <w:right w:val="single" w:sz="2" w:space="0" w:color="auto"/>
            </w:tcBorders>
          </w:tcPr>
          <w:p w14:paraId="0E1CB142" w14:textId="5C83328E" w:rsidR="00D0260D" w:rsidRDefault="00D0260D" w:rsidP="00AE7991">
            <w:pPr>
              <w:spacing w:after="0" w:line="240" w:lineRule="auto"/>
              <w:rPr>
                <w:i/>
              </w:rPr>
            </w:pPr>
            <w:r>
              <w:rPr>
                <w:i/>
              </w:rPr>
              <w:t xml:space="preserve">If you do not have </w:t>
            </w:r>
            <w:r w:rsidR="000001E1">
              <w:rPr>
                <w:i/>
              </w:rPr>
              <w:t xml:space="preserve">these </w:t>
            </w:r>
            <w:r>
              <w:rPr>
                <w:i/>
              </w:rPr>
              <w:t xml:space="preserve">data, what will it take to access </w:t>
            </w:r>
            <w:r w:rsidR="007F4E9E">
              <w:rPr>
                <w:i/>
              </w:rPr>
              <w:t>them</w:t>
            </w:r>
            <w:r>
              <w:rPr>
                <w:i/>
              </w:rPr>
              <w:t xml:space="preserve">? </w:t>
            </w:r>
          </w:p>
          <w:p w14:paraId="7DC8E832" w14:textId="77777777" w:rsidR="00FA46B5" w:rsidRDefault="00FA46B5" w:rsidP="00AE7991">
            <w:pPr>
              <w:spacing w:after="0" w:line="240" w:lineRule="auto"/>
              <w:rPr>
                <w:i/>
              </w:rPr>
            </w:pPr>
          </w:p>
          <w:p w14:paraId="1F80C159" w14:textId="303768A6" w:rsidR="00D72C0C" w:rsidRDefault="00D72C0C" w:rsidP="00AE7991">
            <w:pPr>
              <w:spacing w:after="0" w:line="240" w:lineRule="auto"/>
              <w:rPr>
                <w:i/>
              </w:rPr>
            </w:pPr>
            <w:r>
              <w:rPr>
                <w:i/>
              </w:rPr>
              <w:t xml:space="preserve">If you do have access to </w:t>
            </w:r>
            <w:r w:rsidR="000001E1">
              <w:rPr>
                <w:i/>
              </w:rPr>
              <w:t>the data</w:t>
            </w:r>
            <w:r>
              <w:rPr>
                <w:i/>
              </w:rPr>
              <w:t xml:space="preserve">, where are the greatest gaps in service? </w:t>
            </w:r>
          </w:p>
          <w:p w14:paraId="29863E7D" w14:textId="77777777" w:rsidR="00FA46B5" w:rsidRDefault="00FA46B5" w:rsidP="00AE7991">
            <w:pPr>
              <w:spacing w:after="0" w:line="240" w:lineRule="auto"/>
              <w:rPr>
                <w:i/>
              </w:rPr>
            </w:pPr>
          </w:p>
          <w:p w14:paraId="1E17FC02" w14:textId="77777777" w:rsidR="00D72C0C" w:rsidRPr="003807F6" w:rsidRDefault="00D72C0C" w:rsidP="00AE7991">
            <w:pPr>
              <w:spacing w:after="0" w:line="240" w:lineRule="auto"/>
              <w:rPr>
                <w:i/>
              </w:rPr>
            </w:pPr>
            <w:r>
              <w:rPr>
                <w:i/>
              </w:rPr>
              <w:t>What are the root causes of the gaps?</w:t>
            </w:r>
          </w:p>
        </w:tc>
        <w:tc>
          <w:tcPr>
            <w:tcW w:w="5220" w:type="dxa"/>
            <w:tcBorders>
              <w:top w:val="single" w:sz="18" w:space="0" w:color="auto"/>
              <w:left w:val="single" w:sz="2" w:space="0" w:color="auto"/>
              <w:bottom w:val="nil"/>
              <w:right w:val="single" w:sz="18" w:space="0" w:color="auto"/>
            </w:tcBorders>
          </w:tcPr>
          <w:p w14:paraId="192B8DDA" w14:textId="77777777" w:rsidR="00D0260D" w:rsidRDefault="00D0260D" w:rsidP="00AE7991">
            <w:pPr>
              <w:spacing w:after="0" w:line="240" w:lineRule="auto"/>
            </w:pPr>
          </w:p>
        </w:tc>
      </w:tr>
      <w:tr w:rsidR="00D0260D" w14:paraId="5DC4B116" w14:textId="77777777">
        <w:tblPrEx>
          <w:tblBorders>
            <w:insideV w:val="none" w:sz="0" w:space="0" w:color="auto"/>
          </w:tblBorders>
        </w:tblPrEx>
        <w:trPr>
          <w:trHeight w:val="1853"/>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58611F4C" w14:textId="77777777" w:rsidR="00D0260D" w:rsidRPr="0048294B" w:rsidRDefault="00D0260D"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20FA7D14" w14:textId="77777777" w:rsidR="00D0260D" w:rsidRDefault="00D0260D"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449D3345" w14:textId="77777777" w:rsidR="00D0260D" w:rsidRDefault="00D0260D" w:rsidP="00AE7991">
            <w:pPr>
              <w:spacing w:after="0" w:line="240" w:lineRule="auto"/>
            </w:pPr>
          </w:p>
        </w:tc>
      </w:tr>
      <w:tr w:rsidR="00D0260D" w14:paraId="4EDECE4D" w14:textId="77777777">
        <w:tblPrEx>
          <w:tblBorders>
            <w:insideV w:val="none" w:sz="0" w:space="0" w:color="auto"/>
          </w:tblBorders>
        </w:tblPrEx>
        <w:tc>
          <w:tcPr>
            <w:tcW w:w="4546" w:type="dxa"/>
            <w:tcBorders>
              <w:top w:val="single" w:sz="18" w:space="0" w:color="auto"/>
              <w:left w:val="single" w:sz="18" w:space="0" w:color="auto"/>
              <w:bottom w:val="nil"/>
              <w:right w:val="single" w:sz="2" w:space="0" w:color="auto"/>
            </w:tcBorders>
          </w:tcPr>
          <w:p w14:paraId="5DCA7CB8" w14:textId="58B673D5" w:rsidR="00D0260D" w:rsidRPr="00FA46B5" w:rsidRDefault="00D0260D" w:rsidP="00AE7991">
            <w:pPr>
              <w:spacing w:after="0" w:line="240" w:lineRule="auto"/>
            </w:pPr>
            <w:r w:rsidRPr="0048294B">
              <w:t>What specific strategies</w:t>
            </w:r>
            <w:r w:rsidR="00FA46B5">
              <w:t xml:space="preserve"> </w:t>
            </w:r>
            <w:r w:rsidR="00A42757">
              <w:t xml:space="preserve">are being </w:t>
            </w:r>
            <w:r w:rsidRPr="0048294B">
              <w:t>used to support</w:t>
            </w:r>
            <w:r w:rsidR="00FA46B5">
              <w:t xml:space="preserve"> access to and success in high-quality CTE for</w:t>
            </w:r>
            <w:r w:rsidRPr="0048294B">
              <w:t xml:space="preserve"> </w:t>
            </w:r>
            <w:r w:rsidR="00FA46B5">
              <w:t>s</w:t>
            </w:r>
            <w:r w:rsidRPr="0048294B">
              <w:t xml:space="preserve">pecial </w:t>
            </w:r>
            <w:r w:rsidR="00FA46B5">
              <w:t>p</w:t>
            </w:r>
            <w:r w:rsidRPr="0048294B">
              <w:t>opulations</w:t>
            </w:r>
            <w:r w:rsidR="00FA46B5">
              <w:t xml:space="preserve"> (including in work-based learning)</w:t>
            </w:r>
            <w:r>
              <w:t>?</w:t>
            </w:r>
            <w:r w:rsidR="00FA46B5">
              <w:t xml:space="preserve"> How effective are </w:t>
            </w:r>
            <w:r w:rsidR="000001E1">
              <w:t>these strategies</w:t>
            </w:r>
            <w:r w:rsidR="00FA46B5">
              <w:t>?</w:t>
            </w:r>
          </w:p>
          <w:p w14:paraId="3C1F95FB" w14:textId="77777777" w:rsidR="00D0260D" w:rsidRPr="00B25690" w:rsidRDefault="00D0260D" w:rsidP="00AE7991">
            <w:pPr>
              <w:spacing w:after="0" w:line="240" w:lineRule="auto"/>
              <w:rPr>
                <w:i/>
              </w:rPr>
            </w:pPr>
          </w:p>
        </w:tc>
        <w:tc>
          <w:tcPr>
            <w:tcW w:w="4791" w:type="dxa"/>
            <w:tcBorders>
              <w:top w:val="single" w:sz="18" w:space="0" w:color="auto"/>
              <w:left w:val="single" w:sz="2" w:space="0" w:color="auto"/>
              <w:bottom w:val="nil"/>
              <w:right w:val="single" w:sz="2" w:space="0" w:color="auto"/>
            </w:tcBorders>
          </w:tcPr>
          <w:p w14:paraId="47480BCF" w14:textId="77777777" w:rsidR="00F33ACA" w:rsidRDefault="00FA46B5" w:rsidP="00B26CBA">
            <w:pPr>
              <w:spacing w:after="0" w:line="240" w:lineRule="auto"/>
              <w:rPr>
                <w:i/>
              </w:rPr>
            </w:pPr>
            <w:r w:rsidRPr="00FA46B5">
              <w:rPr>
                <w:i/>
              </w:rPr>
              <w:t xml:space="preserve">What </w:t>
            </w:r>
            <w:r w:rsidR="000C011D">
              <w:rPr>
                <w:i/>
              </w:rPr>
              <w:t xml:space="preserve">strategies need to be sustained, discontinued or </w:t>
            </w:r>
            <w:r w:rsidRPr="00FA46B5">
              <w:rPr>
                <w:i/>
              </w:rPr>
              <w:t>added to support access to and success in high-quality CTE for special populations?</w:t>
            </w:r>
            <w:r w:rsidR="00B26CBA">
              <w:rPr>
                <w:i/>
              </w:rPr>
              <w:t xml:space="preserve"> How might the new </w:t>
            </w:r>
            <w:r w:rsidR="000001E1">
              <w:rPr>
                <w:i/>
              </w:rPr>
              <w:t>set-</w:t>
            </w:r>
            <w:r w:rsidR="00B26CBA">
              <w:rPr>
                <w:i/>
              </w:rPr>
              <w:t xml:space="preserve">aside for recruiting special populations in CTE be leveraged? </w:t>
            </w:r>
          </w:p>
          <w:p w14:paraId="22C990AF" w14:textId="71E04120" w:rsidR="008D54AD" w:rsidRPr="00FA46B5" w:rsidRDefault="008D54AD" w:rsidP="00B26CBA">
            <w:pPr>
              <w:spacing w:after="0" w:line="240" w:lineRule="auto"/>
              <w:rPr>
                <w:i/>
              </w:rPr>
            </w:pPr>
            <w:r w:rsidRPr="00FA46B5">
              <w:rPr>
                <w:b/>
                <w:i/>
              </w:rPr>
              <w:t>NOTE:</w:t>
            </w:r>
            <w:r w:rsidRPr="00FA46B5">
              <w:rPr>
                <w:i/>
              </w:rPr>
              <w:t xml:space="preserve"> Perkins V has an expanded definition of </w:t>
            </w:r>
            <w:r w:rsidR="007F4E9E">
              <w:rPr>
                <w:i/>
              </w:rPr>
              <w:t>“</w:t>
            </w:r>
            <w:r w:rsidRPr="00FA46B5">
              <w:rPr>
                <w:i/>
              </w:rPr>
              <w:t>special populations</w:t>
            </w:r>
            <w:r w:rsidR="007F4E9E">
              <w:rPr>
                <w:i/>
              </w:rPr>
              <w:t>”</w:t>
            </w:r>
            <w:r w:rsidRPr="00FA46B5">
              <w:rPr>
                <w:i/>
              </w:rPr>
              <w:t xml:space="preserve"> and a focus </w:t>
            </w:r>
            <w:r w:rsidR="00A42757">
              <w:rPr>
                <w:i/>
              </w:rPr>
              <w:t xml:space="preserve">on </w:t>
            </w:r>
            <w:r w:rsidRPr="00FA46B5">
              <w:rPr>
                <w:i/>
              </w:rPr>
              <w:t>how special populations will be provided with appropriate accommodations</w:t>
            </w:r>
            <w:r w:rsidR="00C86C39">
              <w:rPr>
                <w:i/>
              </w:rPr>
              <w:t>,</w:t>
            </w:r>
            <w:r w:rsidRPr="00FA46B5">
              <w:rPr>
                <w:i/>
              </w:rPr>
              <w:t xml:space="preserve"> instruction and work-based learning opportunities in integrated settings that support competitive, integrated employment.</w:t>
            </w:r>
            <w:r w:rsidR="00150D9C">
              <w:rPr>
                <w:i/>
              </w:rPr>
              <w:t xml:space="preserve"> Perkins V also requires a small </w:t>
            </w:r>
            <w:r w:rsidR="005D0E3F">
              <w:rPr>
                <w:i/>
              </w:rPr>
              <w:t>set-</w:t>
            </w:r>
            <w:r w:rsidR="00150D9C">
              <w:rPr>
                <w:i/>
              </w:rPr>
              <w:t>aside of stat</w:t>
            </w:r>
            <w:r w:rsidR="00A42757">
              <w:rPr>
                <w:i/>
              </w:rPr>
              <w:t>e</w:t>
            </w:r>
            <w:r w:rsidR="00150D9C">
              <w:rPr>
                <w:i/>
              </w:rPr>
              <w:t xml:space="preserve"> leadership funds to support </w:t>
            </w:r>
            <w:r w:rsidR="005D0E3F">
              <w:rPr>
                <w:i/>
              </w:rPr>
              <w:t xml:space="preserve">the </w:t>
            </w:r>
            <w:r w:rsidR="00150D9C">
              <w:rPr>
                <w:i/>
              </w:rPr>
              <w:t>recruitment of special populations into CTE programs.</w:t>
            </w:r>
          </w:p>
        </w:tc>
        <w:tc>
          <w:tcPr>
            <w:tcW w:w="5220" w:type="dxa"/>
            <w:tcBorders>
              <w:top w:val="single" w:sz="18" w:space="0" w:color="auto"/>
              <w:left w:val="single" w:sz="2" w:space="0" w:color="auto"/>
              <w:bottom w:val="nil"/>
              <w:right w:val="single" w:sz="18" w:space="0" w:color="auto"/>
            </w:tcBorders>
          </w:tcPr>
          <w:p w14:paraId="29C03C87" w14:textId="77777777" w:rsidR="00D0260D" w:rsidRDefault="00D0260D" w:rsidP="00AE7991">
            <w:pPr>
              <w:spacing w:after="0" w:line="240" w:lineRule="auto"/>
            </w:pPr>
          </w:p>
        </w:tc>
      </w:tr>
      <w:tr w:rsidR="00D0260D" w14:paraId="2D313990" w14:textId="77777777">
        <w:tblPrEx>
          <w:tblBorders>
            <w:insideV w:val="none" w:sz="0" w:space="0" w:color="auto"/>
          </w:tblBorders>
        </w:tblPrEx>
        <w:trPr>
          <w:trHeight w:val="1935"/>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549D2FD8" w14:textId="77777777" w:rsidR="00D0260D" w:rsidRPr="00B25690" w:rsidRDefault="00D0260D" w:rsidP="00AE7991">
            <w:pPr>
              <w:spacing w:after="0" w:line="240" w:lineRule="auto"/>
              <w:rPr>
                <w:i/>
              </w:rPr>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2D416370" w14:textId="77777777" w:rsidR="00D0260D" w:rsidRDefault="00D0260D" w:rsidP="00AE7991">
            <w:pPr>
              <w:spacing w:after="0" w:line="240" w:lineRule="auto"/>
            </w:pPr>
          </w:p>
          <w:p w14:paraId="40907DBA" w14:textId="77777777" w:rsidR="008D54AD" w:rsidRDefault="008D54AD" w:rsidP="00AE7991">
            <w:pPr>
              <w:spacing w:after="0" w:line="240" w:lineRule="auto"/>
            </w:pPr>
          </w:p>
          <w:p w14:paraId="023431B3" w14:textId="77777777" w:rsidR="008D54AD" w:rsidRDefault="008D54AD" w:rsidP="00AE7991">
            <w:pPr>
              <w:spacing w:after="0" w:line="240" w:lineRule="auto"/>
            </w:pPr>
          </w:p>
          <w:p w14:paraId="27634D70" w14:textId="77777777" w:rsidR="008D54AD" w:rsidRDefault="008D54AD" w:rsidP="00AE7991">
            <w:pPr>
              <w:spacing w:after="0" w:line="240" w:lineRule="auto"/>
            </w:pPr>
          </w:p>
          <w:p w14:paraId="279E7804" w14:textId="77777777" w:rsidR="008D54AD" w:rsidRDefault="008D54AD" w:rsidP="00AE7991">
            <w:pPr>
              <w:spacing w:after="0" w:line="240" w:lineRule="auto"/>
            </w:pPr>
          </w:p>
          <w:p w14:paraId="056EF006" w14:textId="77777777" w:rsidR="008D54AD" w:rsidRDefault="008D54AD"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0BFABCFF" w14:textId="77777777" w:rsidR="00D0260D" w:rsidRDefault="00D0260D" w:rsidP="00AE7991">
            <w:pPr>
              <w:spacing w:after="0" w:line="240" w:lineRule="auto"/>
            </w:pPr>
          </w:p>
        </w:tc>
      </w:tr>
      <w:tr w:rsidR="00D0260D" w14:paraId="0D4DDA5A" w14:textId="77777777">
        <w:tblPrEx>
          <w:tblBorders>
            <w:insideV w:val="none" w:sz="0" w:space="0" w:color="auto"/>
          </w:tblBorders>
        </w:tblPrEx>
        <w:trPr>
          <w:trHeight w:val="1395"/>
        </w:trPr>
        <w:tc>
          <w:tcPr>
            <w:tcW w:w="4546" w:type="dxa"/>
            <w:tcBorders>
              <w:top w:val="single" w:sz="18" w:space="0" w:color="auto"/>
              <w:left w:val="single" w:sz="18" w:space="0" w:color="auto"/>
              <w:bottom w:val="nil"/>
              <w:right w:val="single" w:sz="2" w:space="0" w:color="auto"/>
            </w:tcBorders>
          </w:tcPr>
          <w:p w14:paraId="547A0242" w14:textId="77777777" w:rsidR="00D1025C" w:rsidRPr="005B2379" w:rsidRDefault="00D0260D" w:rsidP="00F51CC7">
            <w:pPr>
              <w:spacing w:after="0" w:line="240" w:lineRule="auto"/>
            </w:pPr>
            <w:r w:rsidRPr="0048294B">
              <w:t>What processes are in place</w:t>
            </w:r>
            <w:r>
              <w:t xml:space="preserve"> at the state </w:t>
            </w:r>
            <w:r w:rsidR="008D54AD">
              <w:t>and</w:t>
            </w:r>
            <w:r>
              <w:t xml:space="preserve"> local</w:t>
            </w:r>
            <w:r w:rsidRPr="0048294B">
              <w:t xml:space="preserve"> </w:t>
            </w:r>
            <w:r w:rsidR="00A42757">
              <w:t xml:space="preserve">levels </w:t>
            </w:r>
            <w:r w:rsidRPr="0048294B">
              <w:t>to</w:t>
            </w:r>
            <w:r w:rsidR="00F51CC7">
              <w:t xml:space="preserve"> identify and address disparity and performance gaps </w:t>
            </w:r>
            <w:r>
              <w:t>for spec</w:t>
            </w:r>
            <w:r w:rsidR="00621C36">
              <w:t xml:space="preserve">ial populations </w:t>
            </w:r>
            <w:r w:rsidR="00A42757">
              <w:t>and</w:t>
            </w:r>
            <w:r w:rsidR="00621C36">
              <w:t xml:space="preserve"> sub-groups? </w:t>
            </w:r>
          </w:p>
        </w:tc>
        <w:tc>
          <w:tcPr>
            <w:tcW w:w="4791" w:type="dxa"/>
            <w:tcBorders>
              <w:top w:val="single" w:sz="18" w:space="0" w:color="auto"/>
              <w:left w:val="single" w:sz="2" w:space="0" w:color="auto"/>
              <w:bottom w:val="nil"/>
              <w:right w:val="single" w:sz="2" w:space="0" w:color="auto"/>
            </w:tcBorders>
          </w:tcPr>
          <w:p w14:paraId="67B5799D" w14:textId="0D25B658" w:rsidR="00D0260D" w:rsidRPr="000415C8" w:rsidRDefault="00A42757" w:rsidP="00AE7991">
            <w:pPr>
              <w:spacing w:after="0" w:line="240" w:lineRule="auto"/>
              <w:rPr>
                <w:i/>
              </w:rPr>
            </w:pPr>
            <w:r>
              <w:rPr>
                <w:i/>
              </w:rPr>
              <w:t xml:space="preserve">What processes need to be improved? Do any new processes need to be created? </w:t>
            </w:r>
            <w:r w:rsidR="00B26CBA">
              <w:rPr>
                <w:i/>
              </w:rPr>
              <w:t xml:space="preserve">Should any ineffective strategies by discontinued? </w:t>
            </w:r>
          </w:p>
        </w:tc>
        <w:tc>
          <w:tcPr>
            <w:tcW w:w="5220" w:type="dxa"/>
            <w:tcBorders>
              <w:top w:val="single" w:sz="18" w:space="0" w:color="auto"/>
              <w:left w:val="single" w:sz="2" w:space="0" w:color="auto"/>
              <w:bottom w:val="nil"/>
              <w:right w:val="single" w:sz="18" w:space="0" w:color="auto"/>
            </w:tcBorders>
          </w:tcPr>
          <w:p w14:paraId="38075B7F" w14:textId="77777777" w:rsidR="00D0260D" w:rsidRDefault="00D0260D" w:rsidP="00AE7991">
            <w:pPr>
              <w:spacing w:after="0" w:line="240" w:lineRule="auto"/>
            </w:pPr>
          </w:p>
        </w:tc>
      </w:tr>
      <w:tr w:rsidR="00D1025C" w14:paraId="136F6F3D" w14:textId="77777777" w:rsidTr="00F33ACA">
        <w:tblPrEx>
          <w:tblBorders>
            <w:insideV w:val="none" w:sz="0" w:space="0" w:color="auto"/>
          </w:tblBorders>
        </w:tblPrEx>
        <w:trPr>
          <w:trHeight w:val="1530"/>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7EBE5F8C" w14:textId="77777777" w:rsidR="00D0260D" w:rsidRPr="005B2379" w:rsidRDefault="00D0260D"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6864682E" w14:textId="77777777" w:rsidR="00D0260D" w:rsidRDefault="00D0260D"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6EFDA352" w14:textId="77777777" w:rsidR="00D0260D" w:rsidRDefault="00D0260D" w:rsidP="00AE7991">
            <w:pPr>
              <w:spacing w:after="0" w:line="240" w:lineRule="auto"/>
            </w:pPr>
          </w:p>
        </w:tc>
      </w:tr>
      <w:tr w:rsidR="00150D9C" w14:paraId="3511A242" w14:textId="77777777" w:rsidTr="00F33ACA">
        <w:tblPrEx>
          <w:tblBorders>
            <w:insideV w:val="none" w:sz="0" w:space="0" w:color="auto"/>
          </w:tblBorders>
        </w:tblPrEx>
        <w:trPr>
          <w:trHeight w:val="1755"/>
        </w:trPr>
        <w:tc>
          <w:tcPr>
            <w:tcW w:w="4546" w:type="dxa"/>
            <w:tcBorders>
              <w:top w:val="single" w:sz="18" w:space="0" w:color="auto"/>
              <w:left w:val="single" w:sz="18" w:space="0" w:color="auto"/>
              <w:bottom w:val="nil"/>
              <w:right w:val="single" w:sz="2" w:space="0" w:color="auto"/>
            </w:tcBorders>
            <w:shd w:val="clear" w:color="auto" w:fill="auto"/>
          </w:tcPr>
          <w:p w14:paraId="350B20BF" w14:textId="0BDB49F1" w:rsidR="00150D9C" w:rsidRPr="00FA46B5" w:rsidRDefault="00150D9C" w:rsidP="00AE7991">
            <w:pPr>
              <w:spacing w:after="0" w:line="240" w:lineRule="auto"/>
            </w:pPr>
            <w:r w:rsidRPr="0048294B">
              <w:t>What specific strategies</w:t>
            </w:r>
            <w:r>
              <w:t xml:space="preserve"> </w:t>
            </w:r>
            <w:r w:rsidRPr="0048294B">
              <w:t xml:space="preserve">are </w:t>
            </w:r>
            <w:r w:rsidR="00A42757">
              <w:t xml:space="preserve">being </w:t>
            </w:r>
            <w:r w:rsidRPr="0048294B">
              <w:t>used to support</w:t>
            </w:r>
            <w:r>
              <w:t xml:space="preserve"> access to and success in high-quality CTE in</w:t>
            </w:r>
            <w:r w:rsidRPr="0048294B">
              <w:t xml:space="preserve"> </w:t>
            </w:r>
            <w:r>
              <w:t>non</w:t>
            </w:r>
            <w:r w:rsidR="005D0E3F">
              <w:t>-</w:t>
            </w:r>
            <w:r>
              <w:t>traditional fields</w:t>
            </w:r>
            <w:r w:rsidR="00B26CBA">
              <w:t xml:space="preserve"> (including the use of the state leadership </w:t>
            </w:r>
            <w:r w:rsidR="005D0E3F">
              <w:t>set-</w:t>
            </w:r>
            <w:r w:rsidR="00B26CBA">
              <w:t>aside)</w:t>
            </w:r>
            <w:r>
              <w:t xml:space="preserve">? How effective are </w:t>
            </w:r>
            <w:r w:rsidR="005D0E3F">
              <w:t>these strategies</w:t>
            </w:r>
            <w:r>
              <w:t>?</w:t>
            </w:r>
          </w:p>
          <w:p w14:paraId="06F411F6" w14:textId="77777777" w:rsidR="00150D9C" w:rsidRPr="00B25690" w:rsidRDefault="00150D9C" w:rsidP="00AE7991">
            <w:pPr>
              <w:spacing w:after="0" w:line="240" w:lineRule="auto"/>
              <w:rPr>
                <w:i/>
              </w:rPr>
            </w:pPr>
          </w:p>
        </w:tc>
        <w:tc>
          <w:tcPr>
            <w:tcW w:w="4791" w:type="dxa"/>
            <w:tcBorders>
              <w:top w:val="single" w:sz="18" w:space="0" w:color="auto"/>
              <w:left w:val="single" w:sz="2" w:space="0" w:color="auto"/>
              <w:bottom w:val="nil"/>
              <w:right w:val="single" w:sz="2" w:space="0" w:color="auto"/>
            </w:tcBorders>
            <w:shd w:val="clear" w:color="auto" w:fill="auto"/>
          </w:tcPr>
          <w:p w14:paraId="5C61C449" w14:textId="76B062D6" w:rsidR="00150D9C" w:rsidRDefault="00B26CBA" w:rsidP="00AE7991">
            <w:pPr>
              <w:spacing w:after="0" w:line="240" w:lineRule="auto"/>
              <w:rPr>
                <w:i/>
              </w:rPr>
            </w:pPr>
            <w:r w:rsidRPr="00FA46B5">
              <w:rPr>
                <w:i/>
              </w:rPr>
              <w:t xml:space="preserve">What </w:t>
            </w:r>
            <w:r>
              <w:rPr>
                <w:i/>
              </w:rPr>
              <w:t xml:space="preserve">strategies need to be sustained, discontinued or </w:t>
            </w:r>
            <w:r w:rsidRPr="00FA46B5">
              <w:rPr>
                <w:i/>
              </w:rPr>
              <w:t xml:space="preserve">added </w:t>
            </w:r>
            <w:r w:rsidR="00150D9C" w:rsidRPr="00FA46B5">
              <w:rPr>
                <w:i/>
              </w:rPr>
              <w:t xml:space="preserve">to support </w:t>
            </w:r>
            <w:r w:rsidR="00150D9C" w:rsidRPr="00150D9C">
              <w:rPr>
                <w:i/>
              </w:rPr>
              <w:t>access to and success in high-quality CTE in non</w:t>
            </w:r>
            <w:r w:rsidR="005D0E3F">
              <w:rPr>
                <w:i/>
              </w:rPr>
              <w:t>-</w:t>
            </w:r>
            <w:r w:rsidR="00150D9C" w:rsidRPr="00150D9C">
              <w:rPr>
                <w:i/>
              </w:rPr>
              <w:t>traditional fields?</w:t>
            </w:r>
            <w:r>
              <w:rPr>
                <w:i/>
              </w:rPr>
              <w:t xml:space="preserve"> Are any changes necessary to the non</w:t>
            </w:r>
            <w:r w:rsidR="005D0E3F">
              <w:rPr>
                <w:i/>
              </w:rPr>
              <w:t>-</w:t>
            </w:r>
            <w:r>
              <w:rPr>
                <w:i/>
              </w:rPr>
              <w:t xml:space="preserve">traditional </w:t>
            </w:r>
            <w:r w:rsidR="005D0E3F">
              <w:rPr>
                <w:i/>
              </w:rPr>
              <w:t>set-</w:t>
            </w:r>
            <w:r>
              <w:rPr>
                <w:i/>
              </w:rPr>
              <w:t>aside?</w:t>
            </w:r>
          </w:p>
          <w:p w14:paraId="2DB40E05" w14:textId="77777777" w:rsidR="00150D9C" w:rsidRPr="00FA46B5" w:rsidRDefault="00150D9C" w:rsidP="00AE7991">
            <w:pPr>
              <w:spacing w:after="0" w:line="240" w:lineRule="auto"/>
              <w:rPr>
                <w:i/>
              </w:rPr>
            </w:pPr>
          </w:p>
        </w:tc>
        <w:tc>
          <w:tcPr>
            <w:tcW w:w="5220" w:type="dxa"/>
            <w:tcBorders>
              <w:top w:val="single" w:sz="18" w:space="0" w:color="auto"/>
              <w:left w:val="single" w:sz="2" w:space="0" w:color="auto"/>
              <w:bottom w:val="nil"/>
              <w:right w:val="single" w:sz="18" w:space="0" w:color="auto"/>
            </w:tcBorders>
            <w:shd w:val="clear" w:color="auto" w:fill="auto"/>
          </w:tcPr>
          <w:p w14:paraId="6F8AA610" w14:textId="77777777" w:rsidR="00150D9C" w:rsidRDefault="00150D9C" w:rsidP="00AE7991">
            <w:pPr>
              <w:spacing w:after="0" w:line="240" w:lineRule="auto"/>
            </w:pPr>
          </w:p>
        </w:tc>
      </w:tr>
      <w:tr w:rsidR="00150D9C" w14:paraId="59672B61" w14:textId="77777777" w:rsidTr="00F33ACA">
        <w:tblPrEx>
          <w:tblBorders>
            <w:insideV w:val="none" w:sz="0" w:space="0" w:color="auto"/>
          </w:tblBorders>
        </w:tblPrEx>
        <w:trPr>
          <w:trHeight w:val="1620"/>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008A8DEE" w14:textId="77777777" w:rsidR="00150D9C" w:rsidRPr="005B2379" w:rsidRDefault="00150D9C" w:rsidP="00AE7991">
            <w:pPr>
              <w:spacing w:after="0" w:line="240" w:lineRule="auto"/>
            </w:pPr>
          </w:p>
        </w:tc>
        <w:tc>
          <w:tcPr>
            <w:tcW w:w="4791" w:type="dxa"/>
            <w:tcBorders>
              <w:top w:val="nil"/>
              <w:left w:val="single" w:sz="2" w:space="0" w:color="auto"/>
              <w:bottom w:val="single" w:sz="18" w:space="0" w:color="auto"/>
              <w:right w:val="single" w:sz="2" w:space="0" w:color="auto"/>
            </w:tcBorders>
            <w:shd w:val="clear" w:color="auto" w:fill="D9D9D9" w:themeFill="background1" w:themeFillShade="D9"/>
          </w:tcPr>
          <w:p w14:paraId="5E738FAB" w14:textId="77777777" w:rsidR="00150D9C" w:rsidRDefault="00150D9C"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125B7369" w14:textId="77777777" w:rsidR="00150D9C" w:rsidRDefault="00150D9C" w:rsidP="00AE7991">
            <w:pPr>
              <w:spacing w:after="0" w:line="240" w:lineRule="auto"/>
            </w:pPr>
          </w:p>
        </w:tc>
      </w:tr>
      <w:tr w:rsidR="00D1025C" w14:paraId="02ADAA4F" w14:textId="77777777">
        <w:tblPrEx>
          <w:tblBorders>
            <w:insideV w:val="none" w:sz="0" w:space="0" w:color="auto"/>
          </w:tblBorders>
        </w:tblPrEx>
        <w:tc>
          <w:tcPr>
            <w:tcW w:w="4546" w:type="dxa"/>
            <w:tcBorders>
              <w:top w:val="single" w:sz="18" w:space="0" w:color="auto"/>
              <w:left w:val="single" w:sz="18" w:space="0" w:color="auto"/>
              <w:bottom w:val="nil"/>
              <w:right w:val="single" w:sz="2" w:space="0" w:color="auto"/>
            </w:tcBorders>
          </w:tcPr>
          <w:p w14:paraId="3586E698" w14:textId="67CCA619" w:rsidR="00D1025C" w:rsidRPr="00FA46B5" w:rsidRDefault="00572227" w:rsidP="00AE7991">
            <w:pPr>
              <w:spacing w:after="0" w:line="240" w:lineRule="auto"/>
            </w:pPr>
            <w:r w:rsidRPr="0048294B">
              <w:t>How are CTE programs</w:t>
            </w:r>
            <w:r>
              <w:t xml:space="preserve"> or programs of study</w:t>
            </w:r>
            <w:r w:rsidRPr="0048294B">
              <w:t xml:space="preserve"> implemented in </w:t>
            </w:r>
            <w:r>
              <w:t>s</w:t>
            </w:r>
            <w:r w:rsidRPr="0048294B">
              <w:t>tate correctional institutions</w:t>
            </w:r>
            <w:r>
              <w:t xml:space="preserve"> and juvenile justice facilities? </w:t>
            </w:r>
            <w:r w:rsidR="00D1025C" w:rsidRPr="0048294B">
              <w:t>What specific strategies</w:t>
            </w:r>
            <w:r w:rsidR="00D1025C">
              <w:t xml:space="preserve"> currently</w:t>
            </w:r>
            <w:r w:rsidR="00D1025C" w:rsidRPr="0048294B">
              <w:t xml:space="preserve"> are used to support</w:t>
            </w:r>
            <w:r w:rsidR="00D1025C">
              <w:t xml:space="preserve"> access to and success in high-quality CTE for</w:t>
            </w:r>
            <w:r w:rsidR="00D1025C" w:rsidRPr="0048294B">
              <w:t xml:space="preserve"> </w:t>
            </w:r>
            <w:r w:rsidR="00D1025C">
              <w:t>learners in s</w:t>
            </w:r>
            <w:r w:rsidR="00D1025C" w:rsidRPr="0048294B">
              <w:t>tate correctional institutions</w:t>
            </w:r>
            <w:r w:rsidR="00D1025C">
              <w:t xml:space="preserve"> and juvenile justice facilities</w:t>
            </w:r>
            <w:r w:rsidR="00150D9C">
              <w:t xml:space="preserve">? </w:t>
            </w:r>
            <w:r w:rsidR="00D1025C">
              <w:t>How effective are the</w:t>
            </w:r>
            <w:r w:rsidR="00FC271A">
              <w:t>se strategies</w:t>
            </w:r>
            <w:r w:rsidR="00D1025C">
              <w:t>?</w:t>
            </w:r>
          </w:p>
          <w:p w14:paraId="134915A9" w14:textId="77777777" w:rsidR="00D1025C" w:rsidRPr="0048294B" w:rsidRDefault="00D1025C" w:rsidP="00AE7991">
            <w:pPr>
              <w:spacing w:after="0" w:line="240" w:lineRule="auto"/>
            </w:pPr>
          </w:p>
        </w:tc>
        <w:tc>
          <w:tcPr>
            <w:tcW w:w="4791" w:type="dxa"/>
            <w:tcBorders>
              <w:top w:val="single" w:sz="18" w:space="0" w:color="auto"/>
              <w:left w:val="single" w:sz="2" w:space="0" w:color="auto"/>
              <w:bottom w:val="nil"/>
              <w:right w:val="single" w:sz="4" w:space="0" w:color="auto"/>
            </w:tcBorders>
          </w:tcPr>
          <w:p w14:paraId="0C1150B7" w14:textId="77777777" w:rsidR="00F33ACA" w:rsidRDefault="00150D9C" w:rsidP="00B26CBA">
            <w:pPr>
              <w:spacing w:after="0" w:line="240" w:lineRule="auto"/>
              <w:rPr>
                <w:i/>
              </w:rPr>
            </w:pPr>
            <w:r w:rsidRPr="00150D9C">
              <w:rPr>
                <w:i/>
              </w:rPr>
              <w:t>What strategies need to be sustained</w:t>
            </w:r>
            <w:r w:rsidR="00B26CBA">
              <w:rPr>
                <w:i/>
              </w:rPr>
              <w:t>, discontinued</w:t>
            </w:r>
            <w:r w:rsidRPr="00150D9C">
              <w:rPr>
                <w:i/>
              </w:rPr>
              <w:t xml:space="preserve"> and added to support access to and success in high-quality CTE for learners in state correctional institutions and juvenile justice facilities?</w:t>
            </w:r>
            <w:r w:rsidR="00B26CBA">
              <w:rPr>
                <w:i/>
              </w:rPr>
              <w:t xml:space="preserve"> How might the </w:t>
            </w:r>
            <w:r w:rsidR="001E2567">
              <w:rPr>
                <w:i/>
              </w:rPr>
              <w:t>set-</w:t>
            </w:r>
            <w:r w:rsidR="00B26CBA">
              <w:rPr>
                <w:i/>
              </w:rPr>
              <w:t xml:space="preserve">aside be modified? </w:t>
            </w:r>
          </w:p>
          <w:p w14:paraId="75D0AFF6" w14:textId="0F5229BE" w:rsidR="00150D9C" w:rsidRPr="00D1025C" w:rsidRDefault="00150D9C" w:rsidP="00B26CBA">
            <w:pPr>
              <w:spacing w:after="0" w:line="240" w:lineRule="auto"/>
              <w:rPr>
                <w:i/>
              </w:rPr>
            </w:pPr>
            <w:r w:rsidRPr="00D1025C">
              <w:rPr>
                <w:b/>
                <w:i/>
              </w:rPr>
              <w:t>NOTE</w:t>
            </w:r>
            <w:r w:rsidRPr="00F33ACA">
              <w:rPr>
                <w:b/>
                <w:i/>
              </w:rPr>
              <w:t>:</w:t>
            </w:r>
            <w:r w:rsidRPr="00D1025C">
              <w:rPr>
                <w:i/>
              </w:rPr>
              <w:t xml:space="preserve"> Perkins V increases the allowable state </w:t>
            </w:r>
            <w:r w:rsidR="00FC271A" w:rsidRPr="00D1025C">
              <w:rPr>
                <w:i/>
              </w:rPr>
              <w:t>set</w:t>
            </w:r>
            <w:r w:rsidR="00FC271A">
              <w:rPr>
                <w:i/>
              </w:rPr>
              <w:t>-</w:t>
            </w:r>
            <w:r w:rsidRPr="00D1025C">
              <w:rPr>
                <w:i/>
              </w:rPr>
              <w:t xml:space="preserve">aside for state correctional institutions and juvenile justice facilities from </w:t>
            </w:r>
            <w:r w:rsidR="005E5AE1">
              <w:rPr>
                <w:i/>
              </w:rPr>
              <w:t>1 to 2</w:t>
            </w:r>
            <w:r w:rsidRPr="00D1025C">
              <w:rPr>
                <w:i/>
              </w:rPr>
              <w:t xml:space="preserve"> percent</w:t>
            </w:r>
            <w:r w:rsidR="00572227">
              <w:rPr>
                <w:i/>
              </w:rPr>
              <w:t xml:space="preserve"> and is now a required use of state leadership funds</w:t>
            </w:r>
            <w:r w:rsidRPr="00D1025C">
              <w:rPr>
                <w:i/>
              </w:rPr>
              <w:t xml:space="preserve">. </w:t>
            </w:r>
          </w:p>
        </w:tc>
        <w:tc>
          <w:tcPr>
            <w:tcW w:w="5220" w:type="dxa"/>
            <w:tcBorders>
              <w:top w:val="single" w:sz="18" w:space="0" w:color="auto"/>
              <w:left w:val="single" w:sz="4" w:space="0" w:color="auto"/>
              <w:bottom w:val="nil"/>
              <w:right w:val="single" w:sz="18" w:space="0" w:color="auto"/>
            </w:tcBorders>
          </w:tcPr>
          <w:p w14:paraId="61FB59B7" w14:textId="77777777" w:rsidR="00D1025C" w:rsidRDefault="00D1025C" w:rsidP="00AE7991">
            <w:pPr>
              <w:spacing w:after="0" w:line="240" w:lineRule="auto"/>
            </w:pPr>
          </w:p>
        </w:tc>
      </w:tr>
      <w:tr w:rsidR="00D1025C" w14:paraId="1DE8D4BE" w14:textId="77777777">
        <w:tblPrEx>
          <w:tblBorders>
            <w:insideV w:val="none" w:sz="0" w:space="0" w:color="auto"/>
          </w:tblBorders>
        </w:tblPrEx>
        <w:trPr>
          <w:trHeight w:val="1944"/>
        </w:trPr>
        <w:tc>
          <w:tcPr>
            <w:tcW w:w="4546" w:type="dxa"/>
            <w:tcBorders>
              <w:top w:val="nil"/>
              <w:left w:val="single" w:sz="18" w:space="0" w:color="auto"/>
              <w:bottom w:val="single" w:sz="18" w:space="0" w:color="auto"/>
              <w:right w:val="single" w:sz="2" w:space="0" w:color="auto"/>
            </w:tcBorders>
            <w:shd w:val="clear" w:color="auto" w:fill="D9D9D9" w:themeFill="background1" w:themeFillShade="D9"/>
          </w:tcPr>
          <w:p w14:paraId="5B6B5098" w14:textId="77777777" w:rsidR="00D1025C" w:rsidRPr="0048294B" w:rsidRDefault="00D1025C" w:rsidP="00AE7991">
            <w:pPr>
              <w:spacing w:after="0" w:line="240" w:lineRule="auto"/>
            </w:pPr>
          </w:p>
        </w:tc>
        <w:tc>
          <w:tcPr>
            <w:tcW w:w="4791" w:type="dxa"/>
            <w:tcBorders>
              <w:top w:val="nil"/>
              <w:left w:val="single" w:sz="2" w:space="0" w:color="auto"/>
              <w:bottom w:val="single" w:sz="18" w:space="0" w:color="auto"/>
              <w:right w:val="single" w:sz="4" w:space="0" w:color="auto"/>
            </w:tcBorders>
            <w:shd w:val="clear" w:color="auto" w:fill="D9D9D9" w:themeFill="background1" w:themeFillShade="D9"/>
          </w:tcPr>
          <w:p w14:paraId="3EFFC464" w14:textId="77777777" w:rsidR="00D1025C" w:rsidRDefault="00D1025C" w:rsidP="00AE7991">
            <w:pPr>
              <w:spacing w:after="0" w:line="240" w:lineRule="auto"/>
            </w:pPr>
          </w:p>
        </w:tc>
        <w:tc>
          <w:tcPr>
            <w:tcW w:w="5220" w:type="dxa"/>
            <w:tcBorders>
              <w:top w:val="nil"/>
              <w:left w:val="single" w:sz="4" w:space="0" w:color="auto"/>
              <w:bottom w:val="single" w:sz="18" w:space="0" w:color="auto"/>
              <w:right w:val="single" w:sz="18" w:space="0" w:color="auto"/>
            </w:tcBorders>
            <w:shd w:val="clear" w:color="auto" w:fill="D9D9D9" w:themeFill="background1" w:themeFillShade="D9"/>
          </w:tcPr>
          <w:p w14:paraId="751E13C1" w14:textId="77777777" w:rsidR="00D1025C" w:rsidRDefault="00D1025C" w:rsidP="00AE7991">
            <w:pPr>
              <w:spacing w:after="0" w:line="240" w:lineRule="auto"/>
            </w:pPr>
          </w:p>
        </w:tc>
      </w:tr>
    </w:tbl>
    <w:p w14:paraId="506CC3D1" w14:textId="77777777" w:rsidR="00AF45ED" w:rsidRDefault="00AF45ED" w:rsidP="00AE7991">
      <w:pPr>
        <w:pStyle w:val="Heading3"/>
        <w:spacing w:line="240" w:lineRule="auto"/>
        <w:rPr>
          <w:color w:val="FFFFFF" w:themeColor="background1"/>
          <w:sz w:val="22"/>
        </w:rPr>
      </w:pPr>
    </w:p>
    <w:p w14:paraId="7890685A" w14:textId="77777777" w:rsidR="00AF45ED" w:rsidRDefault="00AF45ED">
      <w:pPr>
        <w:spacing w:after="0" w:line="240" w:lineRule="auto"/>
        <w:rPr>
          <w:rFonts w:asciiTheme="majorHAnsi" w:eastAsiaTheme="majorEastAsia" w:hAnsiTheme="majorHAnsi" w:cstheme="majorBidi"/>
          <w:color w:val="FFFFFF" w:themeColor="background1"/>
          <w:szCs w:val="24"/>
        </w:rPr>
      </w:pPr>
      <w:r>
        <w:rPr>
          <w:color w:val="FFFFFF" w:themeColor="background1"/>
        </w:rPr>
        <w:br w:type="page"/>
      </w:r>
    </w:p>
    <w:p w14:paraId="083639CB" w14:textId="16518130" w:rsidR="00726F06" w:rsidRPr="00C35DBE" w:rsidRDefault="00726F06" w:rsidP="00AE7991">
      <w:pPr>
        <w:pStyle w:val="Heading3"/>
        <w:spacing w:line="240" w:lineRule="auto"/>
        <w:rPr>
          <w:color w:val="FFFFFF" w:themeColor="background1"/>
          <w:sz w:val="22"/>
        </w:rPr>
      </w:pPr>
    </w:p>
    <w:tbl>
      <w:tblPr>
        <w:tblStyle w:val="TableGrid"/>
        <w:tblW w:w="14719" w:type="dxa"/>
        <w:tblInd w:w="18" w:type="dxa"/>
        <w:tblLook w:val="04A0" w:firstRow="1" w:lastRow="0" w:firstColumn="1" w:lastColumn="0" w:noHBand="0" w:noVBand="1"/>
      </w:tblPr>
      <w:tblGrid>
        <w:gridCol w:w="4549"/>
        <w:gridCol w:w="4950"/>
        <w:gridCol w:w="5220"/>
      </w:tblGrid>
      <w:tr w:rsidR="005E6AAD" w14:paraId="27FDB8F4" w14:textId="77777777">
        <w:trPr>
          <w:trHeight w:val="548"/>
          <w:tblHeader/>
        </w:trPr>
        <w:tc>
          <w:tcPr>
            <w:tcW w:w="4549" w:type="dxa"/>
            <w:tcBorders>
              <w:top w:val="single" w:sz="18" w:space="0" w:color="auto"/>
              <w:left w:val="single" w:sz="18" w:space="0" w:color="auto"/>
              <w:bottom w:val="single" w:sz="18" w:space="0" w:color="auto"/>
            </w:tcBorders>
            <w:shd w:val="clear" w:color="auto" w:fill="002060"/>
            <w:vAlign w:val="center"/>
          </w:tcPr>
          <w:p w14:paraId="2353E023" w14:textId="5ABAC050" w:rsidR="005E6AAD" w:rsidRPr="00BD1EFF" w:rsidRDefault="005E6AAD" w:rsidP="00AE7991">
            <w:pPr>
              <w:spacing w:after="0" w:line="240" w:lineRule="auto"/>
              <w:jc w:val="center"/>
              <w:rPr>
                <w:b/>
                <w:sz w:val="24"/>
              </w:rPr>
            </w:pPr>
            <w:r w:rsidRPr="00BD1EFF">
              <w:rPr>
                <w:b/>
                <w:sz w:val="24"/>
              </w:rPr>
              <w:t xml:space="preserve">Reflect on </w:t>
            </w:r>
            <w:r w:rsidR="005E5AE1">
              <w:rPr>
                <w:b/>
                <w:sz w:val="24"/>
              </w:rPr>
              <w:t>Y</w:t>
            </w:r>
            <w:r w:rsidR="005E5AE1" w:rsidRPr="00BD1EFF">
              <w:rPr>
                <w:b/>
                <w:sz w:val="24"/>
              </w:rPr>
              <w:t xml:space="preserve">our </w:t>
            </w:r>
            <w:r w:rsidRPr="00BD1EFF">
              <w:rPr>
                <w:b/>
                <w:sz w:val="24"/>
              </w:rPr>
              <w:t xml:space="preserve">Current </w:t>
            </w:r>
            <w:r w:rsidR="005E5AE1">
              <w:rPr>
                <w:b/>
                <w:sz w:val="24"/>
              </w:rPr>
              <w:t>S</w:t>
            </w:r>
            <w:r w:rsidR="005E5AE1" w:rsidRPr="00BD1EFF">
              <w:rPr>
                <w:b/>
                <w:sz w:val="24"/>
              </w:rPr>
              <w:t>ystem</w:t>
            </w:r>
          </w:p>
        </w:tc>
        <w:tc>
          <w:tcPr>
            <w:tcW w:w="4950" w:type="dxa"/>
            <w:tcBorders>
              <w:top w:val="single" w:sz="18" w:space="0" w:color="auto"/>
              <w:bottom w:val="single" w:sz="18" w:space="0" w:color="auto"/>
            </w:tcBorders>
            <w:shd w:val="clear" w:color="auto" w:fill="002060"/>
            <w:vAlign w:val="center"/>
          </w:tcPr>
          <w:p w14:paraId="63CA6BD0" w14:textId="77777777" w:rsidR="005E6AAD" w:rsidRPr="00BD1EFF" w:rsidRDefault="005E6AAD" w:rsidP="00AE7991">
            <w:pPr>
              <w:spacing w:after="0" w:line="240" w:lineRule="auto"/>
              <w:jc w:val="center"/>
              <w:rPr>
                <w:b/>
                <w:sz w:val="24"/>
              </w:rPr>
            </w:pPr>
            <w:r w:rsidRPr="00BD1EFF">
              <w:rPr>
                <w:b/>
                <w:sz w:val="24"/>
              </w:rPr>
              <w:t>Look Forward</w:t>
            </w:r>
          </w:p>
        </w:tc>
        <w:tc>
          <w:tcPr>
            <w:tcW w:w="5220" w:type="dxa"/>
            <w:tcBorders>
              <w:top w:val="single" w:sz="18" w:space="0" w:color="auto"/>
              <w:bottom w:val="single" w:sz="18" w:space="0" w:color="auto"/>
              <w:right w:val="single" w:sz="18" w:space="0" w:color="auto"/>
            </w:tcBorders>
            <w:shd w:val="clear" w:color="auto" w:fill="002060"/>
            <w:vAlign w:val="center"/>
          </w:tcPr>
          <w:p w14:paraId="6797073E" w14:textId="305F7A6D" w:rsidR="005E6AAD" w:rsidRPr="00BD1EFF" w:rsidRDefault="00F51CC7" w:rsidP="00AE7991">
            <w:pPr>
              <w:spacing w:after="0" w:line="240" w:lineRule="auto"/>
              <w:jc w:val="center"/>
              <w:rPr>
                <w:b/>
                <w:sz w:val="24"/>
              </w:rPr>
            </w:pPr>
            <w:r w:rsidRPr="00BD1EFF">
              <w:rPr>
                <w:b/>
                <w:sz w:val="24"/>
              </w:rPr>
              <w:t xml:space="preserve">What </w:t>
            </w:r>
            <w:r>
              <w:rPr>
                <w:b/>
                <w:sz w:val="24"/>
              </w:rPr>
              <w:t xml:space="preserve">Partners &amp; </w:t>
            </w:r>
            <w:r w:rsidRPr="00BD1EFF">
              <w:rPr>
                <w:b/>
                <w:sz w:val="24"/>
              </w:rPr>
              <w:t>Stakeholders Say</w:t>
            </w:r>
            <w:r>
              <w:rPr>
                <w:b/>
                <w:sz w:val="24"/>
              </w:rPr>
              <w:br/>
            </w:r>
            <w:r w:rsidRPr="00E64B0B">
              <w:rPr>
                <w:i/>
                <w:sz w:val="20"/>
              </w:rPr>
              <w:t>This may be filled in later in the planning process</w:t>
            </w:r>
          </w:p>
        </w:tc>
      </w:tr>
      <w:tr w:rsidR="005E6AAD" w14:paraId="5112D7E6" w14:textId="77777777" w:rsidTr="00B26CBA">
        <w:tblPrEx>
          <w:tblBorders>
            <w:insideV w:val="none" w:sz="0" w:space="0" w:color="auto"/>
          </w:tblBorders>
        </w:tblPrEx>
        <w:trPr>
          <w:trHeight w:val="485"/>
          <w:tblHeader/>
        </w:trPr>
        <w:tc>
          <w:tcPr>
            <w:tcW w:w="14719" w:type="dxa"/>
            <w:gridSpan w:val="3"/>
            <w:tcBorders>
              <w:top w:val="single" w:sz="18" w:space="0" w:color="auto"/>
              <w:left w:val="single" w:sz="18" w:space="0" w:color="auto"/>
              <w:bottom w:val="single" w:sz="18" w:space="0" w:color="auto"/>
              <w:right w:val="single" w:sz="18" w:space="0" w:color="auto"/>
            </w:tcBorders>
            <w:shd w:val="clear" w:color="auto" w:fill="FFFF00"/>
            <w:vAlign w:val="center"/>
          </w:tcPr>
          <w:p w14:paraId="4BAD43E7" w14:textId="77777777" w:rsidR="005E6AAD" w:rsidRPr="00BD1EFF" w:rsidRDefault="005E6AAD" w:rsidP="00AE7991">
            <w:pPr>
              <w:spacing w:after="0" w:line="240" w:lineRule="auto"/>
              <w:jc w:val="center"/>
              <w:rPr>
                <w:b/>
                <w:sz w:val="24"/>
              </w:rPr>
            </w:pPr>
            <w:r w:rsidRPr="00BD1EFF">
              <w:rPr>
                <w:b/>
                <w:sz w:val="24"/>
              </w:rPr>
              <w:t>GOVERNANCE</w:t>
            </w:r>
            <w:r w:rsidR="00726F06">
              <w:rPr>
                <w:b/>
                <w:sz w:val="24"/>
              </w:rPr>
              <w:t xml:space="preserve">, </w:t>
            </w:r>
            <w:r w:rsidRPr="00BD1EFF">
              <w:rPr>
                <w:b/>
                <w:sz w:val="24"/>
              </w:rPr>
              <w:t>ADMINISTRATION</w:t>
            </w:r>
            <w:r w:rsidR="00726F06">
              <w:rPr>
                <w:b/>
                <w:sz w:val="24"/>
              </w:rPr>
              <w:t xml:space="preserve"> &amp; </w:t>
            </w:r>
            <w:r w:rsidRPr="00BD1EFF">
              <w:rPr>
                <w:b/>
                <w:sz w:val="24"/>
              </w:rPr>
              <w:t>FUNDING</w:t>
            </w:r>
          </w:p>
        </w:tc>
      </w:tr>
      <w:tr w:rsidR="00C35DBE" w14:paraId="65E13FF7" w14:textId="77777777">
        <w:tblPrEx>
          <w:tblBorders>
            <w:insideV w:val="none" w:sz="0" w:space="0" w:color="auto"/>
          </w:tblBorders>
        </w:tblPrEx>
        <w:tc>
          <w:tcPr>
            <w:tcW w:w="4549" w:type="dxa"/>
            <w:tcBorders>
              <w:top w:val="single" w:sz="18" w:space="0" w:color="auto"/>
              <w:left w:val="single" w:sz="18" w:space="0" w:color="auto"/>
              <w:bottom w:val="nil"/>
              <w:right w:val="single" w:sz="2" w:space="0" w:color="auto"/>
            </w:tcBorders>
          </w:tcPr>
          <w:p w14:paraId="5AF16A5F" w14:textId="574962CC" w:rsidR="00833D06" w:rsidRPr="00C35DBE" w:rsidRDefault="00833D06" w:rsidP="00AE7991">
            <w:pPr>
              <w:spacing w:after="0" w:line="240" w:lineRule="auto"/>
            </w:pPr>
            <w:r w:rsidRPr="00C35DBE">
              <w:t>What is the current</w:t>
            </w:r>
            <w:r>
              <w:t xml:space="preserve"> s</w:t>
            </w:r>
            <w:r w:rsidRPr="00C35DBE">
              <w:t>econdary/</w:t>
            </w:r>
            <w:r>
              <w:t>p</w:t>
            </w:r>
            <w:r w:rsidRPr="00C35DBE">
              <w:t xml:space="preserve">ostsecondary </w:t>
            </w:r>
            <w:r>
              <w:t>s</w:t>
            </w:r>
            <w:r w:rsidRPr="00C35DBE">
              <w:t>plit</w:t>
            </w:r>
            <w:r>
              <w:t xml:space="preserve"> of Perkins funds</w:t>
            </w:r>
            <w:r w:rsidRPr="00C35DBE">
              <w:t xml:space="preserve">? How is this </w:t>
            </w:r>
            <w:r w:rsidR="005E5AE1">
              <w:t xml:space="preserve">split </w:t>
            </w:r>
            <w:r w:rsidRPr="00C35DBE">
              <w:t xml:space="preserve">determined? </w:t>
            </w:r>
          </w:p>
          <w:p w14:paraId="7A8A93DA" w14:textId="77777777" w:rsidR="00C35DBE" w:rsidRPr="005F4464" w:rsidRDefault="00C35DBE" w:rsidP="00AE7991">
            <w:pPr>
              <w:spacing w:after="0" w:line="240" w:lineRule="auto"/>
            </w:pPr>
          </w:p>
        </w:tc>
        <w:tc>
          <w:tcPr>
            <w:tcW w:w="4950" w:type="dxa"/>
            <w:tcBorders>
              <w:top w:val="single" w:sz="18" w:space="0" w:color="auto"/>
              <w:left w:val="single" w:sz="2" w:space="0" w:color="auto"/>
              <w:bottom w:val="nil"/>
              <w:right w:val="single" w:sz="2" w:space="0" w:color="auto"/>
            </w:tcBorders>
          </w:tcPr>
          <w:p w14:paraId="31570E21" w14:textId="77777777" w:rsidR="00833D06" w:rsidRPr="00F952BB" w:rsidRDefault="00833D06" w:rsidP="00AE7991">
            <w:pPr>
              <w:spacing w:after="0" w:line="240" w:lineRule="auto"/>
              <w:rPr>
                <w:b/>
                <w:i/>
              </w:rPr>
            </w:pPr>
            <w:r w:rsidRPr="00F952BB">
              <w:rPr>
                <w:i/>
              </w:rPr>
              <w:t xml:space="preserve">Does the process </w:t>
            </w:r>
            <w:r w:rsidR="00F952BB" w:rsidRPr="00F952BB">
              <w:rPr>
                <w:i/>
              </w:rPr>
              <w:t xml:space="preserve">currently </w:t>
            </w:r>
            <w:r w:rsidRPr="00F952BB">
              <w:rPr>
                <w:i/>
              </w:rPr>
              <w:t xml:space="preserve">used to calculate the secondary/postsecondary split still make sense? What information should be used to inform </w:t>
            </w:r>
            <w:r w:rsidR="00F952BB" w:rsidRPr="00F952BB">
              <w:rPr>
                <w:i/>
              </w:rPr>
              <w:t>the</w:t>
            </w:r>
            <w:r w:rsidRPr="00F952BB">
              <w:rPr>
                <w:i/>
              </w:rPr>
              <w:t xml:space="preserve"> decision</w:t>
            </w:r>
            <w:r w:rsidR="00F952BB" w:rsidRPr="00F952BB">
              <w:rPr>
                <w:i/>
              </w:rPr>
              <w:t xml:space="preserve"> moving forward</w:t>
            </w:r>
            <w:r w:rsidRPr="00F952BB">
              <w:rPr>
                <w:i/>
              </w:rPr>
              <w:t>?</w:t>
            </w:r>
          </w:p>
          <w:p w14:paraId="73C5CC3F" w14:textId="77777777" w:rsidR="00C35DBE" w:rsidRDefault="00C35DBE" w:rsidP="00AE7991">
            <w:pPr>
              <w:spacing w:after="0" w:line="240" w:lineRule="auto"/>
              <w:ind w:left="-14"/>
            </w:pPr>
          </w:p>
        </w:tc>
        <w:tc>
          <w:tcPr>
            <w:tcW w:w="5220" w:type="dxa"/>
            <w:tcBorders>
              <w:top w:val="single" w:sz="18" w:space="0" w:color="auto"/>
              <w:left w:val="single" w:sz="2" w:space="0" w:color="auto"/>
              <w:bottom w:val="nil"/>
              <w:right w:val="single" w:sz="18" w:space="0" w:color="auto"/>
            </w:tcBorders>
          </w:tcPr>
          <w:p w14:paraId="063978F0" w14:textId="77777777" w:rsidR="00C35DBE" w:rsidRDefault="00C35DBE" w:rsidP="00AE7991">
            <w:pPr>
              <w:spacing w:after="0" w:line="240" w:lineRule="auto"/>
            </w:pPr>
          </w:p>
        </w:tc>
      </w:tr>
      <w:tr w:rsidR="00C35DBE" w14:paraId="1AAFD835" w14:textId="77777777">
        <w:tblPrEx>
          <w:tblBorders>
            <w:insideV w:val="none" w:sz="0" w:space="0" w:color="auto"/>
          </w:tblBorders>
        </w:tblPrEx>
        <w:trPr>
          <w:trHeight w:val="1728"/>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0D5FCA17" w14:textId="77777777" w:rsidR="00C35DBE" w:rsidRDefault="00C35DBE"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2ED8824A" w14:textId="77777777" w:rsidR="00C35DBE" w:rsidRDefault="00C35DBE"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430B119F" w14:textId="77777777" w:rsidR="00C35DBE" w:rsidRDefault="00C35DBE" w:rsidP="00AE7991">
            <w:pPr>
              <w:spacing w:after="0" w:line="240" w:lineRule="auto"/>
            </w:pPr>
          </w:p>
        </w:tc>
      </w:tr>
      <w:tr w:rsidR="00833D06" w14:paraId="66FED09D" w14:textId="77777777">
        <w:tblPrEx>
          <w:tblBorders>
            <w:insideV w:val="none" w:sz="0" w:space="0" w:color="auto"/>
          </w:tblBorders>
        </w:tblPrEx>
        <w:trPr>
          <w:trHeight w:val="1494"/>
        </w:trPr>
        <w:tc>
          <w:tcPr>
            <w:tcW w:w="4549" w:type="dxa"/>
            <w:tcBorders>
              <w:top w:val="single" w:sz="18" w:space="0" w:color="auto"/>
              <w:left w:val="single" w:sz="18" w:space="0" w:color="auto"/>
              <w:bottom w:val="nil"/>
              <w:right w:val="single" w:sz="2" w:space="0" w:color="auto"/>
            </w:tcBorders>
          </w:tcPr>
          <w:p w14:paraId="67061BC1" w14:textId="48868E2D" w:rsidR="00833D06" w:rsidRPr="005F4464" w:rsidRDefault="00833D06" w:rsidP="00B26CBA">
            <w:pPr>
              <w:spacing w:after="0" w:line="240" w:lineRule="auto"/>
            </w:pPr>
            <w:r w:rsidRPr="0025688A">
              <w:t xml:space="preserve">What </w:t>
            </w:r>
            <w:r w:rsidR="00B26CBA">
              <w:t>is your theory of action for your</w:t>
            </w:r>
            <w:r w:rsidRPr="0025688A">
              <w:t xml:space="preserve"> </w:t>
            </w:r>
            <w:r w:rsidRPr="008157CA">
              <w:rPr>
                <w:i/>
              </w:rPr>
              <w:t>state</w:t>
            </w:r>
            <w:r w:rsidRPr="00572227">
              <w:t xml:space="preserve"> </w:t>
            </w:r>
            <w:r w:rsidRPr="008157CA">
              <w:rPr>
                <w:i/>
              </w:rPr>
              <w:t>leadership funds</w:t>
            </w:r>
            <w:r w:rsidRPr="0025688A">
              <w:t xml:space="preserve">? </w:t>
            </w:r>
            <w:r>
              <w:t>Wh</w:t>
            </w:r>
            <w:r w:rsidR="00572227">
              <w:t>ich investments</w:t>
            </w:r>
            <w:r>
              <w:t xml:space="preserve"> ha</w:t>
            </w:r>
            <w:r w:rsidR="009E64D1">
              <w:t>ve</w:t>
            </w:r>
            <w:r>
              <w:t xml:space="preserve"> be</w:t>
            </w:r>
            <w:r w:rsidR="00572227">
              <w:t>en</w:t>
            </w:r>
            <w:r w:rsidR="009E64D1">
              <w:t xml:space="preserve"> effective? Wh</w:t>
            </w:r>
            <w:r w:rsidR="00572227">
              <w:t>ich</w:t>
            </w:r>
            <w:r w:rsidR="009E64D1">
              <w:t xml:space="preserve"> </w:t>
            </w:r>
            <w:r w:rsidR="00550911">
              <w:t>have not</w:t>
            </w:r>
            <w:r>
              <w:t>?</w:t>
            </w:r>
          </w:p>
        </w:tc>
        <w:tc>
          <w:tcPr>
            <w:tcW w:w="4950" w:type="dxa"/>
            <w:tcBorders>
              <w:top w:val="single" w:sz="18" w:space="0" w:color="auto"/>
              <w:left w:val="single" w:sz="2" w:space="0" w:color="auto"/>
              <w:bottom w:val="nil"/>
              <w:right w:val="single" w:sz="2" w:space="0" w:color="auto"/>
            </w:tcBorders>
          </w:tcPr>
          <w:p w14:paraId="6A0D922A" w14:textId="77777777" w:rsidR="005572CB" w:rsidRDefault="00572227" w:rsidP="008A66A7">
            <w:pPr>
              <w:spacing w:after="0" w:line="240" w:lineRule="auto"/>
              <w:rPr>
                <w:i/>
              </w:rPr>
            </w:pPr>
            <w:r>
              <w:rPr>
                <w:i/>
              </w:rPr>
              <w:t xml:space="preserve">How can you best leverage </w:t>
            </w:r>
            <w:r w:rsidR="009E64D1">
              <w:rPr>
                <w:i/>
              </w:rPr>
              <w:t>your state leadership funds moving forward?</w:t>
            </w:r>
            <w:r w:rsidR="008A66A7">
              <w:rPr>
                <w:i/>
              </w:rPr>
              <w:t xml:space="preserve"> </w:t>
            </w:r>
          </w:p>
          <w:p w14:paraId="7063A549" w14:textId="52461CD3" w:rsidR="00833D06" w:rsidRPr="00F952BB" w:rsidRDefault="00833D06" w:rsidP="008A66A7">
            <w:pPr>
              <w:spacing w:after="0" w:line="240" w:lineRule="auto"/>
              <w:rPr>
                <w:i/>
              </w:rPr>
            </w:pPr>
            <w:r w:rsidRPr="00F952BB">
              <w:rPr>
                <w:b/>
                <w:i/>
              </w:rPr>
              <w:t>NOTE</w:t>
            </w:r>
            <w:r w:rsidRPr="00F33ACA">
              <w:rPr>
                <w:b/>
                <w:i/>
              </w:rPr>
              <w:t>:</w:t>
            </w:r>
            <w:r w:rsidRPr="00F952BB">
              <w:rPr>
                <w:i/>
              </w:rPr>
              <w:t xml:space="preserve"> </w:t>
            </w:r>
            <w:r w:rsidR="00550911" w:rsidRPr="00F952BB">
              <w:rPr>
                <w:i/>
              </w:rPr>
              <w:t xml:space="preserve">Perkins V </w:t>
            </w:r>
            <w:r w:rsidR="00550911">
              <w:rPr>
                <w:i/>
              </w:rPr>
              <w:t xml:space="preserve">includes </w:t>
            </w:r>
            <w:r w:rsidRPr="00F952BB">
              <w:rPr>
                <w:i/>
              </w:rPr>
              <w:t xml:space="preserve">fewer required </w:t>
            </w:r>
            <w:r w:rsidR="00572227">
              <w:rPr>
                <w:i/>
              </w:rPr>
              <w:t xml:space="preserve">uses of </w:t>
            </w:r>
            <w:r w:rsidRPr="00F952BB">
              <w:rPr>
                <w:i/>
              </w:rPr>
              <w:t xml:space="preserve">state funds </w:t>
            </w:r>
            <w:r w:rsidR="00F952BB" w:rsidRPr="00F952BB">
              <w:rPr>
                <w:i/>
              </w:rPr>
              <w:t>(</w:t>
            </w:r>
            <w:r w:rsidR="00550911">
              <w:rPr>
                <w:i/>
              </w:rPr>
              <w:t xml:space="preserve">nine </w:t>
            </w:r>
            <w:r w:rsidR="00CF02E9">
              <w:rPr>
                <w:i/>
              </w:rPr>
              <w:t xml:space="preserve">required uses </w:t>
            </w:r>
            <w:r w:rsidR="00550911">
              <w:rPr>
                <w:i/>
              </w:rPr>
              <w:t>have been reduced to five</w:t>
            </w:r>
            <w:r w:rsidR="00F952BB" w:rsidRPr="00F952BB">
              <w:rPr>
                <w:i/>
              </w:rPr>
              <w:t xml:space="preserve">), </w:t>
            </w:r>
            <w:r w:rsidR="00572227">
              <w:rPr>
                <w:i/>
              </w:rPr>
              <w:t xml:space="preserve">but </w:t>
            </w:r>
            <w:r w:rsidR="00550911">
              <w:rPr>
                <w:i/>
              </w:rPr>
              <w:t>it also includes</w:t>
            </w:r>
            <w:r w:rsidR="00572227">
              <w:rPr>
                <w:i/>
              </w:rPr>
              <w:t xml:space="preserve"> a</w:t>
            </w:r>
            <w:r w:rsidR="00F952BB" w:rsidRPr="00F952BB">
              <w:rPr>
                <w:i/>
              </w:rPr>
              <w:t xml:space="preserve"> broad list of </w:t>
            </w:r>
            <w:r w:rsidR="00572227">
              <w:rPr>
                <w:i/>
              </w:rPr>
              <w:t xml:space="preserve">25 </w:t>
            </w:r>
            <w:r w:rsidR="00F952BB" w:rsidRPr="00F952BB">
              <w:rPr>
                <w:i/>
              </w:rPr>
              <w:t>permissible uses</w:t>
            </w:r>
            <w:r w:rsidR="008A66A7">
              <w:rPr>
                <w:i/>
              </w:rPr>
              <w:t>.</w:t>
            </w:r>
          </w:p>
        </w:tc>
        <w:tc>
          <w:tcPr>
            <w:tcW w:w="5220" w:type="dxa"/>
            <w:tcBorders>
              <w:top w:val="single" w:sz="18" w:space="0" w:color="auto"/>
              <w:left w:val="single" w:sz="2" w:space="0" w:color="auto"/>
              <w:bottom w:val="nil"/>
              <w:right w:val="single" w:sz="18" w:space="0" w:color="auto"/>
            </w:tcBorders>
          </w:tcPr>
          <w:p w14:paraId="39C8CA1F" w14:textId="77777777" w:rsidR="00833D06" w:rsidRPr="005F4464" w:rsidRDefault="00833D06" w:rsidP="00AE7991">
            <w:pPr>
              <w:spacing w:after="0" w:line="240" w:lineRule="auto"/>
            </w:pPr>
          </w:p>
        </w:tc>
      </w:tr>
      <w:tr w:rsidR="00833D06" w14:paraId="310275BF" w14:textId="77777777">
        <w:tblPrEx>
          <w:tblBorders>
            <w:insideV w:val="none" w:sz="0" w:space="0" w:color="auto"/>
          </w:tblBorders>
        </w:tblPrEx>
        <w:trPr>
          <w:trHeight w:val="2043"/>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58961091" w14:textId="77777777" w:rsidR="00833D06" w:rsidRPr="0048294B" w:rsidRDefault="00833D06"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10067C58" w14:textId="77777777" w:rsidR="00833D06" w:rsidRDefault="00833D06"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63DD047F" w14:textId="77777777" w:rsidR="00833D06" w:rsidRDefault="00833D06" w:rsidP="00AE7991">
            <w:pPr>
              <w:spacing w:after="0" w:line="240" w:lineRule="auto"/>
            </w:pPr>
          </w:p>
        </w:tc>
      </w:tr>
      <w:tr w:rsidR="00833D06" w14:paraId="3A78CA41" w14:textId="77777777">
        <w:tblPrEx>
          <w:tblBorders>
            <w:insideV w:val="none" w:sz="0" w:space="0" w:color="auto"/>
          </w:tblBorders>
        </w:tblPrEx>
        <w:tc>
          <w:tcPr>
            <w:tcW w:w="4549" w:type="dxa"/>
            <w:tcBorders>
              <w:top w:val="single" w:sz="18" w:space="0" w:color="auto"/>
              <w:left w:val="single" w:sz="18" w:space="0" w:color="auto"/>
              <w:bottom w:val="nil"/>
              <w:right w:val="single" w:sz="2" w:space="0" w:color="auto"/>
            </w:tcBorders>
          </w:tcPr>
          <w:p w14:paraId="466BF2A8" w14:textId="77777777" w:rsidR="00833D06" w:rsidRPr="005F4464" w:rsidRDefault="00833D06" w:rsidP="00AE7991">
            <w:pPr>
              <w:spacing w:after="0" w:line="240" w:lineRule="auto"/>
            </w:pPr>
            <w:r w:rsidRPr="0025688A">
              <w:t xml:space="preserve">Do you share </w:t>
            </w:r>
            <w:r w:rsidRPr="009E64D1">
              <w:rPr>
                <w:i/>
              </w:rPr>
              <w:t>state</w:t>
            </w:r>
            <w:r w:rsidRPr="0025688A">
              <w:t xml:space="preserve"> </w:t>
            </w:r>
            <w:r w:rsidRPr="00833D06">
              <w:rPr>
                <w:i/>
              </w:rPr>
              <w:t>leadership funds</w:t>
            </w:r>
            <w:r w:rsidRPr="0025688A">
              <w:t xml:space="preserve"> with another agency that has oversight responsibility for implementing Perkins?</w:t>
            </w:r>
            <w:r>
              <w:t xml:space="preserve"> I</w:t>
            </w:r>
            <w:r w:rsidR="008157CA">
              <w:t>f</w:t>
            </w:r>
            <w:r w:rsidR="009E64D1">
              <w:t xml:space="preserve"> yes, is </w:t>
            </w:r>
            <w:r>
              <w:t>this relationship producing strong outcomes for learners in your state</w:t>
            </w:r>
            <w:r w:rsidR="009E64D1">
              <w:t>?</w:t>
            </w:r>
          </w:p>
        </w:tc>
        <w:tc>
          <w:tcPr>
            <w:tcW w:w="4950" w:type="dxa"/>
            <w:tcBorders>
              <w:top w:val="single" w:sz="18" w:space="0" w:color="auto"/>
              <w:left w:val="single" w:sz="2" w:space="0" w:color="auto"/>
              <w:bottom w:val="nil"/>
              <w:right w:val="single" w:sz="2" w:space="0" w:color="auto"/>
            </w:tcBorders>
          </w:tcPr>
          <w:p w14:paraId="364901CE" w14:textId="66CC9E6C" w:rsidR="00833D06" w:rsidRDefault="00833D06" w:rsidP="00AE7991">
            <w:pPr>
              <w:spacing w:after="0" w:line="240" w:lineRule="auto"/>
            </w:pPr>
            <w:r w:rsidRPr="00F952BB">
              <w:rPr>
                <w:i/>
              </w:rPr>
              <w:t>Do you plan to share these funds in the same manner under Perkins V?</w:t>
            </w:r>
            <w:r w:rsidR="009E64D1">
              <w:rPr>
                <w:i/>
              </w:rPr>
              <w:t xml:space="preserve"> </w:t>
            </w:r>
            <w:r w:rsidRPr="00F952BB">
              <w:rPr>
                <w:i/>
              </w:rPr>
              <w:t xml:space="preserve">If you </w:t>
            </w:r>
            <w:r w:rsidR="00550911" w:rsidRPr="00F952BB">
              <w:rPr>
                <w:i/>
              </w:rPr>
              <w:t>do</w:t>
            </w:r>
            <w:r w:rsidR="00550911">
              <w:rPr>
                <w:i/>
              </w:rPr>
              <w:t xml:space="preserve"> not</w:t>
            </w:r>
            <w:r w:rsidR="00550911" w:rsidRPr="00F952BB">
              <w:rPr>
                <w:i/>
              </w:rPr>
              <w:t xml:space="preserve"> </w:t>
            </w:r>
            <w:r w:rsidRPr="00F952BB">
              <w:rPr>
                <w:i/>
              </w:rPr>
              <w:t>share the funds now, should you?</w:t>
            </w:r>
          </w:p>
        </w:tc>
        <w:tc>
          <w:tcPr>
            <w:tcW w:w="5220" w:type="dxa"/>
            <w:tcBorders>
              <w:top w:val="single" w:sz="18" w:space="0" w:color="auto"/>
              <w:left w:val="single" w:sz="2" w:space="0" w:color="auto"/>
              <w:bottom w:val="nil"/>
              <w:right w:val="single" w:sz="18" w:space="0" w:color="auto"/>
            </w:tcBorders>
          </w:tcPr>
          <w:p w14:paraId="29D70F75" w14:textId="77777777" w:rsidR="00833D06" w:rsidRDefault="00833D06" w:rsidP="00AE7991">
            <w:pPr>
              <w:spacing w:after="0" w:line="240" w:lineRule="auto"/>
              <w:ind w:left="-14"/>
            </w:pPr>
          </w:p>
        </w:tc>
      </w:tr>
      <w:tr w:rsidR="00833D06" w14:paraId="3CD460EE" w14:textId="77777777">
        <w:tblPrEx>
          <w:tblBorders>
            <w:insideV w:val="none" w:sz="0" w:space="0" w:color="auto"/>
          </w:tblBorders>
        </w:tblPrEx>
        <w:trPr>
          <w:trHeight w:val="1584"/>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46F3F5C8" w14:textId="77777777" w:rsidR="00833D06" w:rsidRPr="005B2379" w:rsidRDefault="00833D06"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1828CF27" w14:textId="77777777" w:rsidR="00833D06" w:rsidRDefault="00833D06"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709FC84F" w14:textId="77777777" w:rsidR="00833D06" w:rsidRPr="005F4464" w:rsidRDefault="00833D06" w:rsidP="00AE7991">
            <w:pPr>
              <w:spacing w:after="0" w:line="240" w:lineRule="auto"/>
            </w:pPr>
          </w:p>
        </w:tc>
      </w:tr>
      <w:tr w:rsidR="00833D06" w14:paraId="0A2161A8" w14:textId="77777777">
        <w:tblPrEx>
          <w:tblBorders>
            <w:insideV w:val="none" w:sz="0" w:space="0" w:color="auto"/>
          </w:tblBorders>
        </w:tblPrEx>
        <w:trPr>
          <w:trHeight w:val="1386"/>
        </w:trPr>
        <w:tc>
          <w:tcPr>
            <w:tcW w:w="4549" w:type="dxa"/>
            <w:tcBorders>
              <w:top w:val="single" w:sz="18" w:space="0" w:color="auto"/>
              <w:left w:val="single" w:sz="18" w:space="0" w:color="auto"/>
              <w:bottom w:val="nil"/>
              <w:right w:val="single" w:sz="2" w:space="0" w:color="auto"/>
            </w:tcBorders>
          </w:tcPr>
          <w:p w14:paraId="3A976965" w14:textId="68D9F35F" w:rsidR="00833D06" w:rsidRPr="0048294B" w:rsidRDefault="00833D06" w:rsidP="008157CA">
            <w:pPr>
              <w:spacing w:after="0" w:line="240" w:lineRule="auto"/>
            </w:pPr>
            <w:r>
              <w:t xml:space="preserve">Does your state currently leverage the Perkins </w:t>
            </w:r>
            <w:r w:rsidRPr="009E64D1">
              <w:rPr>
                <w:i/>
              </w:rPr>
              <w:t>reserve fund</w:t>
            </w:r>
            <w:r w:rsidRPr="00F33ACA">
              <w:rPr>
                <w:i/>
              </w:rPr>
              <w:t>?</w:t>
            </w:r>
            <w:r>
              <w:t xml:space="preserve"> If so, how much </w:t>
            </w:r>
            <w:r w:rsidR="00550911">
              <w:t xml:space="preserve">does it leverage </w:t>
            </w:r>
            <w:r>
              <w:t xml:space="preserve">and </w:t>
            </w:r>
            <w:r w:rsidR="008157CA">
              <w:t>for</w:t>
            </w:r>
            <w:r>
              <w:t xml:space="preserve"> what purpose?</w:t>
            </w:r>
            <w:r w:rsidR="009E64D1">
              <w:t xml:space="preserve"> What </w:t>
            </w:r>
            <w:r w:rsidR="008157CA">
              <w:t xml:space="preserve">type of results have </w:t>
            </w:r>
            <w:r w:rsidR="009E64D1">
              <w:t>the reserve fund investments</w:t>
            </w:r>
            <w:r w:rsidR="008157CA">
              <w:t xml:space="preserve"> produced</w:t>
            </w:r>
            <w:r w:rsidR="009E64D1">
              <w:t>?</w:t>
            </w:r>
          </w:p>
        </w:tc>
        <w:tc>
          <w:tcPr>
            <w:tcW w:w="4950" w:type="dxa"/>
            <w:tcBorders>
              <w:top w:val="single" w:sz="18" w:space="0" w:color="auto"/>
              <w:left w:val="single" w:sz="2" w:space="0" w:color="auto"/>
              <w:bottom w:val="nil"/>
              <w:right w:val="single" w:sz="2" w:space="0" w:color="auto"/>
            </w:tcBorders>
          </w:tcPr>
          <w:p w14:paraId="5DB326D9" w14:textId="77777777" w:rsidR="009E64D1" w:rsidRPr="009E64D1" w:rsidRDefault="009E64D1" w:rsidP="00AE7991">
            <w:pPr>
              <w:spacing w:after="0" w:line="240" w:lineRule="auto"/>
              <w:rPr>
                <w:i/>
              </w:rPr>
            </w:pPr>
            <w:r>
              <w:rPr>
                <w:i/>
              </w:rPr>
              <w:t>Where can your state reserve funds be most effectively directed moving forward?</w:t>
            </w:r>
          </w:p>
          <w:p w14:paraId="3CE646E5" w14:textId="77777777" w:rsidR="00833D06" w:rsidRPr="00F952BB" w:rsidRDefault="00833D06" w:rsidP="00AE7991">
            <w:pPr>
              <w:spacing w:after="0" w:line="240" w:lineRule="auto"/>
              <w:rPr>
                <w:i/>
              </w:rPr>
            </w:pPr>
            <w:r w:rsidRPr="009E64D1">
              <w:rPr>
                <w:b/>
                <w:i/>
              </w:rPr>
              <w:t>NOTE</w:t>
            </w:r>
            <w:r w:rsidRPr="00F33ACA">
              <w:rPr>
                <w:b/>
                <w:i/>
              </w:rPr>
              <w:t>:</w:t>
            </w:r>
            <w:r w:rsidRPr="00F952BB">
              <w:rPr>
                <w:i/>
              </w:rPr>
              <w:t xml:space="preserve"> Perkins V increases </w:t>
            </w:r>
            <w:r w:rsidR="009E64D1">
              <w:rPr>
                <w:i/>
              </w:rPr>
              <w:t>the maximum amount of the reserve from 10 to</w:t>
            </w:r>
            <w:r w:rsidRPr="00F952BB">
              <w:rPr>
                <w:i/>
              </w:rPr>
              <w:t xml:space="preserve"> 15 percent.</w:t>
            </w:r>
          </w:p>
        </w:tc>
        <w:tc>
          <w:tcPr>
            <w:tcW w:w="5220" w:type="dxa"/>
            <w:tcBorders>
              <w:top w:val="single" w:sz="18" w:space="0" w:color="auto"/>
              <w:left w:val="single" w:sz="2" w:space="0" w:color="auto"/>
              <w:bottom w:val="nil"/>
              <w:right w:val="single" w:sz="18" w:space="0" w:color="auto"/>
            </w:tcBorders>
          </w:tcPr>
          <w:p w14:paraId="693AA6E4" w14:textId="77777777" w:rsidR="00833D06" w:rsidRDefault="00833D06" w:rsidP="00AE7991">
            <w:pPr>
              <w:spacing w:after="0" w:line="240" w:lineRule="auto"/>
            </w:pPr>
          </w:p>
        </w:tc>
      </w:tr>
      <w:tr w:rsidR="00833D06" w14:paraId="2E53DB1B" w14:textId="77777777">
        <w:tblPrEx>
          <w:tblBorders>
            <w:insideV w:val="none" w:sz="0" w:space="0" w:color="auto"/>
          </w:tblBorders>
        </w:tblPrEx>
        <w:trPr>
          <w:trHeight w:val="1989"/>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3DAC21EE" w14:textId="77777777" w:rsidR="00833D06" w:rsidRPr="005F4464" w:rsidRDefault="00833D06"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0F9E6E45" w14:textId="77777777" w:rsidR="00833D06" w:rsidRDefault="00833D06"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4BF9197E" w14:textId="77777777" w:rsidR="00833D06" w:rsidRDefault="00833D06" w:rsidP="00AE7991">
            <w:pPr>
              <w:spacing w:after="0" w:line="240" w:lineRule="auto"/>
            </w:pPr>
          </w:p>
        </w:tc>
      </w:tr>
      <w:tr w:rsidR="00833D06" w14:paraId="65C69188" w14:textId="77777777">
        <w:tblPrEx>
          <w:tblBorders>
            <w:insideV w:val="none" w:sz="0" w:space="0" w:color="auto"/>
          </w:tblBorders>
        </w:tblPrEx>
        <w:trPr>
          <w:trHeight w:val="1449"/>
        </w:trPr>
        <w:tc>
          <w:tcPr>
            <w:tcW w:w="4549" w:type="dxa"/>
            <w:tcBorders>
              <w:top w:val="single" w:sz="18" w:space="0" w:color="auto"/>
              <w:left w:val="single" w:sz="18" w:space="0" w:color="auto"/>
              <w:bottom w:val="nil"/>
              <w:right w:val="single" w:sz="2" w:space="0" w:color="auto"/>
            </w:tcBorders>
          </w:tcPr>
          <w:p w14:paraId="6209569A" w14:textId="77777777" w:rsidR="00833D06" w:rsidRPr="005F4464" w:rsidRDefault="00833D06" w:rsidP="008157CA">
            <w:pPr>
              <w:spacing w:after="0" w:line="240" w:lineRule="auto"/>
            </w:pPr>
            <w:r w:rsidRPr="0025688A">
              <w:t xml:space="preserve">How much does your state match for Perkins </w:t>
            </w:r>
            <w:r w:rsidRPr="00833D06">
              <w:rPr>
                <w:i/>
              </w:rPr>
              <w:t>state administration</w:t>
            </w:r>
            <w:r>
              <w:t xml:space="preserve"> </w:t>
            </w:r>
            <w:r w:rsidRPr="00F33ACA">
              <w:rPr>
                <w:i/>
              </w:rPr>
              <w:t>funds</w:t>
            </w:r>
            <w:r w:rsidRPr="0025688A">
              <w:t xml:space="preserve"> (max</w:t>
            </w:r>
            <w:r w:rsidR="008A66A7">
              <w:t>imum</w:t>
            </w:r>
            <w:r w:rsidRPr="0025688A">
              <w:t xml:space="preserve"> is 5 percent)?</w:t>
            </w:r>
            <w:r>
              <w:t xml:space="preserve"> </w:t>
            </w:r>
            <w:r w:rsidR="009E64D1">
              <w:t>How effective has this match been?</w:t>
            </w:r>
            <w:r w:rsidR="008157CA">
              <w:t xml:space="preserve"> </w:t>
            </w:r>
            <w:r w:rsidR="008157CA" w:rsidRPr="005B2379">
              <w:t>Are these fu</w:t>
            </w:r>
            <w:r w:rsidR="008157CA">
              <w:t>nds shared with another agency? If yes, is this relationship producing strong outcomes for learners in your state?</w:t>
            </w:r>
          </w:p>
        </w:tc>
        <w:tc>
          <w:tcPr>
            <w:tcW w:w="4950" w:type="dxa"/>
            <w:tcBorders>
              <w:top w:val="single" w:sz="18" w:space="0" w:color="auto"/>
              <w:left w:val="single" w:sz="2" w:space="0" w:color="auto"/>
              <w:bottom w:val="nil"/>
              <w:right w:val="single" w:sz="2" w:space="0" w:color="auto"/>
            </w:tcBorders>
          </w:tcPr>
          <w:p w14:paraId="1B4C29D7" w14:textId="77777777" w:rsidR="00833D06" w:rsidRPr="00AE5246" w:rsidRDefault="00AE5246" w:rsidP="00AE5246">
            <w:pPr>
              <w:spacing w:after="0" w:line="240" w:lineRule="auto"/>
              <w:ind w:left="-14"/>
              <w:rPr>
                <w:b/>
                <w:i/>
              </w:rPr>
            </w:pPr>
            <w:r w:rsidRPr="00F952BB">
              <w:rPr>
                <w:i/>
              </w:rPr>
              <w:t xml:space="preserve">Do you want or need this match to change under Perkins V? Do you want or need this relationship to change under Perkins V? </w:t>
            </w:r>
          </w:p>
        </w:tc>
        <w:tc>
          <w:tcPr>
            <w:tcW w:w="5220" w:type="dxa"/>
            <w:tcBorders>
              <w:top w:val="single" w:sz="18" w:space="0" w:color="auto"/>
              <w:left w:val="single" w:sz="2" w:space="0" w:color="auto"/>
              <w:bottom w:val="nil"/>
              <w:right w:val="single" w:sz="18" w:space="0" w:color="auto"/>
            </w:tcBorders>
          </w:tcPr>
          <w:p w14:paraId="53EDD30E" w14:textId="77777777" w:rsidR="00833D06" w:rsidRDefault="00833D06" w:rsidP="00AE7991">
            <w:pPr>
              <w:spacing w:after="0" w:line="240" w:lineRule="auto"/>
            </w:pPr>
          </w:p>
        </w:tc>
      </w:tr>
      <w:tr w:rsidR="00833D06" w14:paraId="25281ADC" w14:textId="77777777" w:rsidTr="00F33ACA">
        <w:tblPrEx>
          <w:tblBorders>
            <w:insideV w:val="none" w:sz="0" w:space="0" w:color="auto"/>
          </w:tblBorders>
        </w:tblPrEx>
        <w:trPr>
          <w:trHeight w:val="1602"/>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0DC9F942" w14:textId="77777777" w:rsidR="00833D06" w:rsidRPr="005F4464" w:rsidRDefault="00833D06"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186C0D34" w14:textId="77777777" w:rsidR="00833D06" w:rsidRDefault="00833D06"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04434E86" w14:textId="77777777" w:rsidR="00833D06" w:rsidRDefault="00833D06" w:rsidP="00AE7991">
            <w:pPr>
              <w:spacing w:after="0" w:line="240" w:lineRule="auto"/>
            </w:pPr>
          </w:p>
        </w:tc>
      </w:tr>
      <w:tr w:rsidR="00B26CBA" w14:paraId="2DD22405" w14:textId="77777777" w:rsidTr="00F33ACA">
        <w:tblPrEx>
          <w:tblBorders>
            <w:insideV w:val="none" w:sz="0" w:space="0" w:color="auto"/>
          </w:tblBorders>
        </w:tblPrEx>
        <w:trPr>
          <w:trHeight w:val="1899"/>
        </w:trPr>
        <w:tc>
          <w:tcPr>
            <w:tcW w:w="4549" w:type="dxa"/>
            <w:tcBorders>
              <w:top w:val="single" w:sz="18" w:space="0" w:color="auto"/>
              <w:left w:val="single" w:sz="18" w:space="0" w:color="auto"/>
              <w:bottom w:val="nil"/>
              <w:right w:val="single" w:sz="2" w:space="0" w:color="auto"/>
            </w:tcBorders>
            <w:shd w:val="clear" w:color="auto" w:fill="FFFFFF" w:themeFill="background1"/>
          </w:tcPr>
          <w:p w14:paraId="1D75DD5E" w14:textId="7CCD4644" w:rsidR="005572CB" w:rsidRPr="005572CB" w:rsidRDefault="00857401" w:rsidP="005572CB">
            <w:pPr>
              <w:pStyle w:val="CommentText"/>
              <w:rPr>
                <w:rFonts w:asciiTheme="minorHAnsi" w:hAnsiTheme="minorHAnsi" w:cstheme="minorHAnsi"/>
                <w:sz w:val="22"/>
                <w:szCs w:val="22"/>
              </w:rPr>
            </w:pPr>
            <w:r w:rsidRPr="005572CB">
              <w:rPr>
                <w:rFonts w:asciiTheme="minorHAnsi" w:hAnsiTheme="minorHAnsi" w:cstheme="minorHAnsi"/>
                <w:sz w:val="22"/>
                <w:szCs w:val="22"/>
              </w:rPr>
              <w:t>How effective is your current</w:t>
            </w:r>
            <w:r w:rsidR="005572CB" w:rsidRPr="005572CB">
              <w:rPr>
                <w:rFonts w:asciiTheme="minorHAnsi" w:hAnsiTheme="minorHAnsi" w:cstheme="minorHAnsi"/>
                <w:sz w:val="22"/>
                <w:szCs w:val="22"/>
              </w:rPr>
              <w:t xml:space="preserve"> state-to-local</w:t>
            </w:r>
            <w:r w:rsidRPr="005572CB">
              <w:rPr>
                <w:rFonts w:asciiTheme="minorHAnsi" w:hAnsiTheme="minorHAnsi" w:cstheme="minorHAnsi"/>
                <w:sz w:val="22"/>
                <w:szCs w:val="22"/>
              </w:rPr>
              <w:t xml:space="preserve"> funding formula</w:t>
            </w:r>
            <w:r w:rsidR="005572CB" w:rsidRPr="005572CB">
              <w:rPr>
                <w:rFonts w:asciiTheme="minorHAnsi" w:hAnsiTheme="minorHAnsi" w:cstheme="minorHAnsi"/>
                <w:sz w:val="22"/>
                <w:szCs w:val="22"/>
              </w:rPr>
              <w:t xml:space="preserve"> at </w:t>
            </w:r>
            <w:r w:rsidR="005572CB">
              <w:rPr>
                <w:rFonts w:asciiTheme="minorHAnsi" w:hAnsiTheme="minorHAnsi" w:cstheme="minorHAnsi"/>
                <w:sz w:val="22"/>
                <w:szCs w:val="22"/>
              </w:rPr>
              <w:t>directing</w:t>
            </w:r>
            <w:r w:rsidR="005572CB" w:rsidRPr="005572CB">
              <w:rPr>
                <w:rFonts w:asciiTheme="minorHAnsi" w:hAnsiTheme="minorHAnsi" w:cstheme="minorHAnsi"/>
                <w:sz w:val="22"/>
                <w:szCs w:val="22"/>
              </w:rPr>
              <w:t xml:space="preserve"> </w:t>
            </w:r>
            <w:r w:rsidRPr="005572CB">
              <w:rPr>
                <w:rFonts w:asciiTheme="minorHAnsi" w:hAnsiTheme="minorHAnsi" w:cstheme="minorHAnsi"/>
                <w:sz w:val="22"/>
                <w:szCs w:val="22"/>
              </w:rPr>
              <w:t>resources to local eligible recipients</w:t>
            </w:r>
            <w:r w:rsidR="005572CB" w:rsidRPr="005572CB">
              <w:rPr>
                <w:rFonts w:asciiTheme="minorHAnsi" w:hAnsiTheme="minorHAnsi" w:cstheme="minorHAnsi"/>
                <w:sz w:val="22"/>
                <w:szCs w:val="22"/>
              </w:rPr>
              <w:t>, programs and learners</w:t>
            </w:r>
            <w:r w:rsidR="005572CB">
              <w:rPr>
                <w:rFonts w:asciiTheme="minorHAnsi" w:hAnsiTheme="minorHAnsi" w:cstheme="minorHAnsi"/>
                <w:sz w:val="22"/>
                <w:szCs w:val="22"/>
              </w:rPr>
              <w:t xml:space="preserve"> equitably and efficiently</w:t>
            </w:r>
            <w:r w:rsidR="005572CB" w:rsidRPr="005572CB">
              <w:rPr>
                <w:rFonts w:asciiTheme="minorHAnsi" w:hAnsiTheme="minorHAnsi" w:cstheme="minorHAnsi"/>
                <w:sz w:val="22"/>
                <w:szCs w:val="22"/>
              </w:rPr>
              <w:t>?</w:t>
            </w:r>
          </w:p>
          <w:p w14:paraId="22737A17" w14:textId="5E7D2CF0" w:rsidR="00B26CBA" w:rsidRPr="005572CB" w:rsidRDefault="00B26CBA" w:rsidP="005572CB">
            <w:pPr>
              <w:pStyle w:val="CommentText"/>
              <w:rPr>
                <w:rFonts w:asciiTheme="minorHAnsi" w:hAnsiTheme="minorHAnsi" w:cstheme="minorHAnsi"/>
                <w:sz w:val="22"/>
                <w:szCs w:val="22"/>
              </w:rPr>
            </w:pPr>
          </w:p>
        </w:tc>
        <w:tc>
          <w:tcPr>
            <w:tcW w:w="4950" w:type="dxa"/>
            <w:tcBorders>
              <w:top w:val="single" w:sz="18" w:space="0" w:color="auto"/>
              <w:left w:val="single" w:sz="2" w:space="0" w:color="auto"/>
              <w:bottom w:val="nil"/>
              <w:right w:val="single" w:sz="2" w:space="0" w:color="auto"/>
            </w:tcBorders>
            <w:shd w:val="clear" w:color="auto" w:fill="FFFFFF" w:themeFill="background1"/>
          </w:tcPr>
          <w:p w14:paraId="044F7782" w14:textId="135C6161" w:rsidR="00857401" w:rsidRPr="00F33ACA" w:rsidRDefault="00857401" w:rsidP="00857401">
            <w:pPr>
              <w:pStyle w:val="CommentText"/>
              <w:rPr>
                <w:rFonts w:asciiTheme="minorHAnsi" w:hAnsiTheme="minorHAnsi" w:cstheme="minorHAnsi"/>
                <w:i/>
                <w:sz w:val="22"/>
                <w:szCs w:val="22"/>
              </w:rPr>
            </w:pPr>
            <w:r w:rsidRPr="00F33ACA">
              <w:rPr>
                <w:rFonts w:asciiTheme="minorHAnsi" w:hAnsiTheme="minorHAnsi" w:cstheme="minorHAnsi"/>
                <w:i/>
                <w:sz w:val="22"/>
                <w:szCs w:val="22"/>
              </w:rPr>
              <w:t xml:space="preserve">Do you need to consider an alternate state-to-local formula to </w:t>
            </w:r>
            <w:r w:rsidR="005572CB" w:rsidRPr="00F33ACA">
              <w:rPr>
                <w:rFonts w:asciiTheme="minorHAnsi" w:hAnsiTheme="minorHAnsi" w:cstheme="minorHAnsi"/>
                <w:i/>
                <w:sz w:val="22"/>
                <w:szCs w:val="22"/>
              </w:rPr>
              <w:t>direct</w:t>
            </w:r>
            <w:r w:rsidRPr="00F33ACA">
              <w:rPr>
                <w:rFonts w:asciiTheme="minorHAnsi" w:hAnsiTheme="minorHAnsi" w:cstheme="minorHAnsi"/>
                <w:i/>
                <w:sz w:val="22"/>
                <w:szCs w:val="22"/>
              </w:rPr>
              <w:t xml:space="preserve"> resources</w:t>
            </w:r>
            <w:r w:rsidR="005572CB" w:rsidRPr="00F33ACA">
              <w:rPr>
                <w:rFonts w:asciiTheme="minorHAnsi" w:hAnsiTheme="minorHAnsi" w:cstheme="minorHAnsi"/>
                <w:i/>
                <w:sz w:val="22"/>
                <w:szCs w:val="22"/>
              </w:rPr>
              <w:t xml:space="preserve"> to local eligible recipients, programs and learners more equitably or efficiently?</w:t>
            </w:r>
          </w:p>
          <w:p w14:paraId="431F94AE" w14:textId="77777777" w:rsidR="00B26CBA" w:rsidRPr="00857401" w:rsidRDefault="00B26CBA" w:rsidP="00AE7991">
            <w:pPr>
              <w:spacing w:after="0" w:line="240" w:lineRule="auto"/>
              <w:rPr>
                <w:rFonts w:cstheme="minorHAnsi"/>
                <w:highlight w:val="yellow"/>
              </w:rPr>
            </w:pPr>
          </w:p>
        </w:tc>
        <w:tc>
          <w:tcPr>
            <w:tcW w:w="5220" w:type="dxa"/>
            <w:tcBorders>
              <w:top w:val="single" w:sz="18" w:space="0" w:color="auto"/>
              <w:left w:val="single" w:sz="2" w:space="0" w:color="auto"/>
              <w:bottom w:val="nil"/>
              <w:right w:val="single" w:sz="18" w:space="0" w:color="auto"/>
            </w:tcBorders>
            <w:shd w:val="clear" w:color="auto" w:fill="FFFFFF" w:themeFill="background1"/>
          </w:tcPr>
          <w:p w14:paraId="2D97A643" w14:textId="77777777" w:rsidR="00B26CBA" w:rsidRDefault="00B26CBA" w:rsidP="00AE7991">
            <w:pPr>
              <w:spacing w:after="0" w:line="240" w:lineRule="auto"/>
            </w:pPr>
          </w:p>
        </w:tc>
      </w:tr>
      <w:tr w:rsidR="00B26CBA" w14:paraId="79A77078" w14:textId="77777777" w:rsidTr="00F33ACA">
        <w:tblPrEx>
          <w:tblBorders>
            <w:insideV w:val="none" w:sz="0" w:space="0" w:color="auto"/>
          </w:tblBorders>
        </w:tblPrEx>
        <w:trPr>
          <w:trHeight w:val="1836"/>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14F7807E" w14:textId="77777777" w:rsidR="00B26CBA" w:rsidRPr="005F4464" w:rsidRDefault="00B26CBA"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76091A7E" w14:textId="77777777" w:rsidR="00B26CBA" w:rsidRDefault="00B26CBA"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564A40DE" w14:textId="77777777" w:rsidR="00B26CBA" w:rsidRDefault="00B26CBA" w:rsidP="00AE7991">
            <w:pPr>
              <w:spacing w:after="0" w:line="240" w:lineRule="auto"/>
            </w:pPr>
          </w:p>
        </w:tc>
      </w:tr>
      <w:tr w:rsidR="00833D06" w14:paraId="0F92011F" w14:textId="77777777">
        <w:tblPrEx>
          <w:tblBorders>
            <w:insideV w:val="none" w:sz="0" w:space="0" w:color="auto"/>
          </w:tblBorders>
        </w:tblPrEx>
        <w:trPr>
          <w:trHeight w:val="1539"/>
        </w:trPr>
        <w:tc>
          <w:tcPr>
            <w:tcW w:w="4549" w:type="dxa"/>
            <w:tcBorders>
              <w:top w:val="single" w:sz="18" w:space="0" w:color="auto"/>
              <w:left w:val="single" w:sz="18" w:space="0" w:color="auto"/>
              <w:bottom w:val="nil"/>
              <w:right w:val="single" w:sz="2" w:space="0" w:color="auto"/>
            </w:tcBorders>
          </w:tcPr>
          <w:p w14:paraId="0E9B3BE6" w14:textId="415A4554" w:rsidR="00833D06" w:rsidRPr="00D84F1F" w:rsidRDefault="00955DA7" w:rsidP="00AE7991">
            <w:pPr>
              <w:spacing w:after="0" w:line="240" w:lineRule="auto"/>
            </w:pPr>
            <w:r w:rsidRPr="00D84F1F">
              <w:t xml:space="preserve">Did the state submit a </w:t>
            </w:r>
            <w:r w:rsidR="00280D0E" w:rsidRPr="00D84F1F">
              <w:t xml:space="preserve">Combined State Plan </w:t>
            </w:r>
            <w:r w:rsidRPr="00D84F1F">
              <w:t>with WIOA that included Perkins IV? If not, did the state pursue a unified state plan? What have been the pros and cons of that decision?</w:t>
            </w:r>
          </w:p>
        </w:tc>
        <w:tc>
          <w:tcPr>
            <w:tcW w:w="4950" w:type="dxa"/>
            <w:tcBorders>
              <w:top w:val="single" w:sz="18" w:space="0" w:color="auto"/>
              <w:left w:val="single" w:sz="2" w:space="0" w:color="auto"/>
              <w:bottom w:val="nil"/>
              <w:right w:val="single" w:sz="2" w:space="0" w:color="auto"/>
            </w:tcBorders>
          </w:tcPr>
          <w:p w14:paraId="74558F17" w14:textId="77777777" w:rsidR="00833D06" w:rsidRPr="0055102A" w:rsidRDefault="0055102A" w:rsidP="00AE7991">
            <w:pPr>
              <w:spacing w:after="0" w:line="240" w:lineRule="auto"/>
              <w:rPr>
                <w:i/>
              </w:rPr>
            </w:pPr>
            <w:r w:rsidRPr="0055102A">
              <w:rPr>
                <w:i/>
              </w:rPr>
              <w:t>Will the state submit a Combined State Plan? If so, what are the goals of such an action? What are pitfalls that need to be avoided?</w:t>
            </w:r>
          </w:p>
        </w:tc>
        <w:tc>
          <w:tcPr>
            <w:tcW w:w="5220" w:type="dxa"/>
            <w:tcBorders>
              <w:top w:val="single" w:sz="18" w:space="0" w:color="auto"/>
              <w:left w:val="single" w:sz="2" w:space="0" w:color="auto"/>
              <w:bottom w:val="nil"/>
              <w:right w:val="single" w:sz="18" w:space="0" w:color="auto"/>
            </w:tcBorders>
          </w:tcPr>
          <w:p w14:paraId="115F4976" w14:textId="77777777" w:rsidR="00833D06" w:rsidRDefault="00833D06" w:rsidP="00AE7991">
            <w:pPr>
              <w:spacing w:after="0" w:line="240" w:lineRule="auto"/>
            </w:pPr>
          </w:p>
        </w:tc>
      </w:tr>
      <w:tr w:rsidR="00981678" w14:paraId="49AADC59" w14:textId="77777777">
        <w:tblPrEx>
          <w:tblBorders>
            <w:insideV w:val="none" w:sz="0" w:space="0" w:color="auto"/>
          </w:tblBorders>
        </w:tblPrEx>
        <w:trPr>
          <w:trHeight w:val="1539"/>
        </w:trPr>
        <w:tc>
          <w:tcPr>
            <w:tcW w:w="4549" w:type="dxa"/>
            <w:tcBorders>
              <w:top w:val="nil"/>
              <w:left w:val="single" w:sz="18" w:space="0" w:color="auto"/>
              <w:bottom w:val="single" w:sz="18" w:space="0" w:color="auto"/>
              <w:right w:val="single" w:sz="2" w:space="0" w:color="auto"/>
            </w:tcBorders>
            <w:shd w:val="clear" w:color="auto" w:fill="D9D9D9" w:themeFill="background1" w:themeFillShade="D9"/>
          </w:tcPr>
          <w:p w14:paraId="6F41C026" w14:textId="77777777" w:rsidR="00981678" w:rsidRPr="00341DE0" w:rsidRDefault="00981678" w:rsidP="00AE7991">
            <w:pPr>
              <w:spacing w:after="0" w:line="240" w:lineRule="auto"/>
            </w:pPr>
          </w:p>
        </w:tc>
        <w:tc>
          <w:tcPr>
            <w:tcW w:w="4950" w:type="dxa"/>
            <w:tcBorders>
              <w:top w:val="nil"/>
              <w:left w:val="single" w:sz="2" w:space="0" w:color="auto"/>
              <w:bottom w:val="single" w:sz="18" w:space="0" w:color="auto"/>
              <w:right w:val="single" w:sz="2" w:space="0" w:color="auto"/>
            </w:tcBorders>
            <w:shd w:val="clear" w:color="auto" w:fill="D9D9D9" w:themeFill="background1" w:themeFillShade="D9"/>
          </w:tcPr>
          <w:p w14:paraId="4875735B" w14:textId="77777777" w:rsidR="00981678" w:rsidRDefault="00981678" w:rsidP="00AE7991">
            <w:pPr>
              <w:spacing w:after="0" w:line="240" w:lineRule="auto"/>
            </w:pPr>
          </w:p>
        </w:tc>
        <w:tc>
          <w:tcPr>
            <w:tcW w:w="5220" w:type="dxa"/>
            <w:tcBorders>
              <w:top w:val="nil"/>
              <w:left w:val="single" w:sz="2" w:space="0" w:color="auto"/>
              <w:bottom w:val="single" w:sz="18" w:space="0" w:color="auto"/>
              <w:right w:val="single" w:sz="18" w:space="0" w:color="auto"/>
            </w:tcBorders>
            <w:shd w:val="clear" w:color="auto" w:fill="D9D9D9" w:themeFill="background1" w:themeFillShade="D9"/>
          </w:tcPr>
          <w:p w14:paraId="5CD74625" w14:textId="77777777" w:rsidR="00981678" w:rsidRDefault="00981678" w:rsidP="00AE7991">
            <w:pPr>
              <w:spacing w:after="0" w:line="240" w:lineRule="auto"/>
            </w:pPr>
          </w:p>
        </w:tc>
      </w:tr>
    </w:tbl>
    <w:p w14:paraId="3AD4132E" w14:textId="77777777" w:rsidR="005E6AAD" w:rsidRDefault="005E6AAD" w:rsidP="00AE7991">
      <w:pPr>
        <w:spacing w:after="0" w:line="240" w:lineRule="auto"/>
        <w:rPr>
          <w:b/>
        </w:rPr>
      </w:pPr>
    </w:p>
    <w:p w14:paraId="74F0A52C" w14:textId="77777777" w:rsidR="005E6AAD" w:rsidRDefault="005E6AAD" w:rsidP="00AE7991">
      <w:pPr>
        <w:spacing w:after="0" w:line="240" w:lineRule="auto"/>
        <w:rPr>
          <w:b/>
        </w:rPr>
      </w:pPr>
    </w:p>
    <w:p w14:paraId="4EFD848A" w14:textId="77777777" w:rsidR="005E6AAD" w:rsidRDefault="005E6AAD" w:rsidP="00AE7991">
      <w:pPr>
        <w:spacing w:after="0" w:line="240" w:lineRule="auto"/>
        <w:rPr>
          <w:b/>
        </w:rPr>
      </w:pPr>
    </w:p>
    <w:p w14:paraId="6ED29033" w14:textId="77777777" w:rsidR="005E6AAD" w:rsidRDefault="005E6AAD" w:rsidP="00AE7991">
      <w:pPr>
        <w:spacing w:after="0" w:line="240" w:lineRule="auto"/>
        <w:rPr>
          <w:b/>
        </w:rPr>
      </w:pPr>
      <w:r>
        <w:rPr>
          <w:b/>
        </w:rPr>
        <w:br w:type="page"/>
      </w:r>
    </w:p>
    <w:p w14:paraId="1EF2EE37" w14:textId="181ACE42" w:rsidR="005E6AAD" w:rsidRDefault="005E6AAD" w:rsidP="00AE7991">
      <w:pPr>
        <w:pStyle w:val="Heading2"/>
        <w:spacing w:before="0" w:line="240" w:lineRule="auto"/>
        <w:rPr>
          <w:b/>
        </w:rPr>
      </w:pPr>
      <w:r w:rsidRPr="00AB498A">
        <w:rPr>
          <w:b/>
        </w:rPr>
        <w:t xml:space="preserve">Section 3: </w:t>
      </w:r>
      <w:r w:rsidR="00780550">
        <w:rPr>
          <w:b/>
        </w:rPr>
        <w:t>Strengthen</w:t>
      </w:r>
      <w:r>
        <w:rPr>
          <w:b/>
        </w:rPr>
        <w:t xml:space="preserve"> Your </w:t>
      </w:r>
      <w:r w:rsidR="00CF02E9">
        <w:rPr>
          <w:b/>
        </w:rPr>
        <w:t xml:space="preserve">Statewide </w:t>
      </w:r>
      <w:r>
        <w:rPr>
          <w:b/>
        </w:rPr>
        <w:t>Vision and Goals</w:t>
      </w:r>
      <w:r w:rsidR="00CF02E9">
        <w:rPr>
          <w:b/>
        </w:rPr>
        <w:t xml:space="preserve"> for CTE</w:t>
      </w:r>
    </w:p>
    <w:p w14:paraId="68A966DB" w14:textId="28DABC77" w:rsidR="005E6AAD" w:rsidRDefault="005E6AAD" w:rsidP="00AE7991">
      <w:pPr>
        <w:spacing w:after="0" w:line="240" w:lineRule="auto"/>
      </w:pPr>
      <w:r w:rsidRPr="00896265">
        <w:t xml:space="preserve">Once you have </w:t>
      </w:r>
      <w:r w:rsidR="00E05DEC">
        <w:t>taken stock of your current system</w:t>
      </w:r>
      <w:r w:rsidR="00E67EF2">
        <w:t>, identified effective practices that need to be sustained and/or scale</w:t>
      </w:r>
      <w:r w:rsidR="00CF02E9">
        <w:t>d</w:t>
      </w:r>
      <w:r w:rsidR="00E05DEC">
        <w:t xml:space="preserve"> and areas for improvement</w:t>
      </w:r>
      <w:r w:rsidR="00E67EF2">
        <w:t>,</w:t>
      </w:r>
      <w:r w:rsidRPr="00896265">
        <w:t xml:space="preserve"> </w:t>
      </w:r>
      <w:r w:rsidR="00E05DEC">
        <w:t>consulted key partners and gathered input from</w:t>
      </w:r>
      <w:r w:rsidR="003D71F4" w:rsidRPr="00896265">
        <w:t xml:space="preserve"> stakeholder</w:t>
      </w:r>
      <w:r w:rsidR="00123089">
        <w:t>s</w:t>
      </w:r>
      <w:r w:rsidR="003D71F4" w:rsidRPr="00896265">
        <w:t xml:space="preserve">, </w:t>
      </w:r>
      <w:r w:rsidR="00280D0E" w:rsidRPr="00896265">
        <w:t>it</w:t>
      </w:r>
      <w:r w:rsidR="00280D0E">
        <w:t xml:space="preserve"> is</w:t>
      </w:r>
      <w:r w:rsidR="00280D0E" w:rsidRPr="00896265">
        <w:t xml:space="preserve"> </w:t>
      </w:r>
      <w:r w:rsidR="003D71F4" w:rsidRPr="00896265">
        <w:t xml:space="preserve">time to </w:t>
      </w:r>
      <w:r w:rsidR="00721405" w:rsidRPr="00896265">
        <w:t>confirm</w:t>
      </w:r>
      <w:r w:rsidR="003D71F4" w:rsidRPr="00896265">
        <w:t xml:space="preserve"> your statewide vision and related goals and priorities for CTE. Importantly, these can be fully determined before engaging in consultation </w:t>
      </w:r>
      <w:r w:rsidR="00CF02E9">
        <w:t xml:space="preserve">with key partners </w:t>
      </w:r>
      <w:r w:rsidR="003D71F4" w:rsidRPr="00896265">
        <w:t>and/or stakeholder engagement if the state has recently engaged in strategic planning or already has a well-regarded</w:t>
      </w:r>
      <w:r w:rsidR="00123089">
        <w:t>, fully vetted</w:t>
      </w:r>
      <w:r w:rsidR="003D71F4" w:rsidRPr="00896265">
        <w:t xml:space="preserve"> and </w:t>
      </w:r>
      <w:r w:rsidR="00896265" w:rsidRPr="00896265">
        <w:t>accepted</w:t>
      </w:r>
      <w:r w:rsidR="003D71F4" w:rsidRPr="00896265">
        <w:t xml:space="preserve"> statewide vision in place</w:t>
      </w:r>
      <w:r w:rsidR="00721405" w:rsidRPr="00896265">
        <w:t xml:space="preserve">. </w:t>
      </w:r>
      <w:r w:rsidR="00896265" w:rsidRPr="00896265">
        <w:t>The vision and goals</w:t>
      </w:r>
      <w:r w:rsidR="00721405" w:rsidRPr="00896265">
        <w:t xml:space="preserve"> may also be developed solely through consultation and stakeholder engagement and input. </w:t>
      </w:r>
      <w:r w:rsidR="00896265" w:rsidRPr="00896265">
        <w:t xml:space="preserve">What is most important is that you </w:t>
      </w:r>
      <w:r w:rsidR="00721405" w:rsidRPr="00896265">
        <w:t xml:space="preserve">have true buy-in and support across your state for the vision and priorities </w:t>
      </w:r>
      <w:r w:rsidR="00280D0E">
        <w:t>—</w:t>
      </w:r>
      <w:r w:rsidR="00280D0E" w:rsidRPr="00896265">
        <w:t xml:space="preserve"> </w:t>
      </w:r>
      <w:r w:rsidR="00896265" w:rsidRPr="00896265">
        <w:t>and that your vision and priorities drive access to and success in high-quality CTE for all learners.</w:t>
      </w:r>
      <w:r w:rsidR="00896265">
        <w:t xml:space="preserve"> </w:t>
      </w:r>
    </w:p>
    <w:p w14:paraId="45DBC636" w14:textId="77777777" w:rsidR="005E6AAD" w:rsidRDefault="005E6AAD" w:rsidP="00AE7991">
      <w:pPr>
        <w:spacing w:after="0" w:line="240" w:lineRule="auto"/>
      </w:pPr>
    </w:p>
    <w:p w14:paraId="1B4FD99D" w14:textId="2FD84D50" w:rsidR="005E6AAD" w:rsidRPr="00F302FC" w:rsidRDefault="005E6AAD" w:rsidP="00AE7991">
      <w:pPr>
        <w:pBdr>
          <w:top w:val="single" w:sz="4" w:space="1" w:color="auto"/>
          <w:left w:val="single" w:sz="4" w:space="4" w:color="auto"/>
          <w:bottom w:val="single" w:sz="4" w:space="1" w:color="auto"/>
          <w:right w:val="single" w:sz="4" w:space="4" w:color="auto"/>
        </w:pBdr>
        <w:spacing w:after="120" w:line="240" w:lineRule="auto"/>
        <w:rPr>
          <w:b/>
        </w:rPr>
      </w:pPr>
      <w:r>
        <w:rPr>
          <w:b/>
        </w:rPr>
        <w:t>W</w:t>
      </w:r>
      <w:r w:rsidRPr="00F302FC">
        <w:rPr>
          <w:b/>
        </w:rPr>
        <w:t xml:space="preserve">hat is </w:t>
      </w:r>
      <w:r w:rsidR="00280D0E">
        <w:rPr>
          <w:b/>
        </w:rPr>
        <w:t>y</w:t>
      </w:r>
      <w:r w:rsidR="00280D0E" w:rsidRPr="00F302FC">
        <w:rPr>
          <w:b/>
        </w:rPr>
        <w:t xml:space="preserve">our </w:t>
      </w:r>
      <w:r w:rsidR="00280D0E">
        <w:rPr>
          <w:b/>
        </w:rPr>
        <w:t>o</w:t>
      </w:r>
      <w:r w:rsidR="00280D0E" w:rsidRPr="00F302FC">
        <w:rPr>
          <w:b/>
        </w:rPr>
        <w:t xml:space="preserve">verall </w:t>
      </w:r>
      <w:r w:rsidR="00280D0E">
        <w:rPr>
          <w:b/>
        </w:rPr>
        <w:t xml:space="preserve">vision </w:t>
      </w:r>
      <w:r>
        <w:rPr>
          <w:b/>
        </w:rPr>
        <w:t>for CTE?</w:t>
      </w:r>
    </w:p>
    <w:p w14:paraId="615C2743" w14:textId="77777777" w:rsidR="005E6AAD" w:rsidRDefault="005E6AAD" w:rsidP="00AE7991">
      <w:pPr>
        <w:pBdr>
          <w:top w:val="single" w:sz="4" w:space="1" w:color="auto"/>
          <w:left w:val="single" w:sz="4" w:space="4" w:color="auto"/>
          <w:bottom w:val="single" w:sz="4" w:space="1" w:color="auto"/>
          <w:right w:val="single" w:sz="4" w:space="4" w:color="auto"/>
        </w:pBdr>
        <w:spacing w:after="120" w:line="240" w:lineRule="auto"/>
      </w:pPr>
    </w:p>
    <w:p w14:paraId="275B1D44" w14:textId="77777777" w:rsidR="005E6AAD" w:rsidRDefault="005E6AAD" w:rsidP="00AE7991">
      <w:pPr>
        <w:pBdr>
          <w:top w:val="single" w:sz="4" w:space="1" w:color="auto"/>
          <w:left w:val="single" w:sz="4" w:space="4" w:color="auto"/>
          <w:bottom w:val="single" w:sz="4" w:space="1" w:color="auto"/>
          <w:right w:val="single" w:sz="4" w:space="4" w:color="auto"/>
        </w:pBdr>
        <w:spacing w:line="240" w:lineRule="auto"/>
      </w:pPr>
    </w:p>
    <w:p w14:paraId="6D7E9111" w14:textId="77777777" w:rsidR="005E6AAD" w:rsidRDefault="005E6AAD" w:rsidP="00AE7991">
      <w:pPr>
        <w:pBdr>
          <w:top w:val="single" w:sz="4" w:space="1" w:color="auto"/>
          <w:left w:val="single" w:sz="4" w:space="4" w:color="auto"/>
          <w:bottom w:val="single" w:sz="4" w:space="1" w:color="auto"/>
          <w:right w:val="single" w:sz="4" w:space="4" w:color="auto"/>
        </w:pBdr>
        <w:spacing w:line="240" w:lineRule="auto"/>
      </w:pPr>
    </w:p>
    <w:p w14:paraId="2B903170" w14:textId="77777777" w:rsidR="005E6AAD" w:rsidRDefault="005E6AAD" w:rsidP="00AE7991">
      <w:pPr>
        <w:pBdr>
          <w:top w:val="single" w:sz="4" w:space="1" w:color="auto"/>
          <w:left w:val="single" w:sz="4" w:space="4" w:color="auto"/>
          <w:bottom w:val="single" w:sz="4" w:space="1" w:color="auto"/>
          <w:right w:val="single" w:sz="4" w:space="4" w:color="auto"/>
        </w:pBdr>
        <w:spacing w:line="240" w:lineRule="auto"/>
      </w:pPr>
    </w:p>
    <w:p w14:paraId="55C55DB1" w14:textId="77777777" w:rsidR="005E6AAD" w:rsidRDefault="005E6AAD" w:rsidP="00AE7991">
      <w:pPr>
        <w:spacing w:line="240" w:lineRule="auto"/>
      </w:pPr>
    </w:p>
    <w:p w14:paraId="0F5D7BC7" w14:textId="77777777" w:rsidR="00950A90" w:rsidRDefault="00950A90" w:rsidP="00950A90">
      <w:pPr>
        <w:pBdr>
          <w:top w:val="single" w:sz="4" w:space="1" w:color="auto"/>
          <w:left w:val="single" w:sz="4" w:space="4" w:color="auto"/>
          <w:bottom w:val="single" w:sz="4" w:space="1" w:color="auto"/>
          <w:right w:val="single" w:sz="4" w:space="4" w:color="auto"/>
        </w:pBdr>
        <w:spacing w:line="240" w:lineRule="auto"/>
        <w:rPr>
          <w:b/>
        </w:rPr>
      </w:pPr>
      <w:r w:rsidRPr="00D4657A">
        <w:rPr>
          <w:b/>
        </w:rPr>
        <w:t xml:space="preserve">What are your strategic </w:t>
      </w:r>
      <w:r>
        <w:rPr>
          <w:b/>
        </w:rPr>
        <w:t xml:space="preserve">CTE </w:t>
      </w:r>
      <w:r w:rsidRPr="00D4657A">
        <w:rPr>
          <w:b/>
        </w:rPr>
        <w:t>priorities or goals?</w:t>
      </w:r>
    </w:p>
    <w:p w14:paraId="10624A80" w14:textId="57A460D7" w:rsidR="00950A90" w:rsidRPr="00950A90" w:rsidRDefault="00950A90" w:rsidP="00950A90">
      <w:pPr>
        <w:pBdr>
          <w:top w:val="single" w:sz="4" w:space="1" w:color="auto"/>
          <w:left w:val="single" w:sz="4" w:space="4" w:color="auto"/>
          <w:bottom w:val="single" w:sz="4" w:space="1" w:color="auto"/>
          <w:right w:val="single" w:sz="4" w:space="4" w:color="auto"/>
        </w:pBdr>
        <w:spacing w:after="480" w:line="240" w:lineRule="auto"/>
      </w:pPr>
      <w:r w:rsidRPr="00950A90">
        <w:t>1.</w:t>
      </w:r>
    </w:p>
    <w:p w14:paraId="25D0D5BC" w14:textId="79109F89" w:rsidR="00950A90" w:rsidRPr="00950A90" w:rsidRDefault="00950A90" w:rsidP="00950A90">
      <w:pPr>
        <w:pBdr>
          <w:top w:val="single" w:sz="4" w:space="1" w:color="auto"/>
          <w:left w:val="single" w:sz="4" w:space="4" w:color="auto"/>
          <w:bottom w:val="single" w:sz="4" w:space="1" w:color="auto"/>
          <w:right w:val="single" w:sz="4" w:space="4" w:color="auto"/>
        </w:pBdr>
        <w:spacing w:after="480" w:line="240" w:lineRule="auto"/>
      </w:pPr>
      <w:r w:rsidRPr="00950A90">
        <w:t xml:space="preserve">2. </w:t>
      </w:r>
    </w:p>
    <w:p w14:paraId="58240640" w14:textId="6424EC46" w:rsidR="00950A90" w:rsidRPr="00950A90" w:rsidRDefault="00950A90" w:rsidP="00950A90">
      <w:pPr>
        <w:pBdr>
          <w:top w:val="single" w:sz="4" w:space="1" w:color="auto"/>
          <w:left w:val="single" w:sz="4" w:space="4" w:color="auto"/>
          <w:bottom w:val="single" w:sz="4" w:space="1" w:color="auto"/>
          <w:right w:val="single" w:sz="4" w:space="4" w:color="auto"/>
        </w:pBdr>
        <w:spacing w:after="480" w:line="240" w:lineRule="auto"/>
      </w:pPr>
      <w:r w:rsidRPr="00950A90">
        <w:t xml:space="preserve">3. </w:t>
      </w:r>
    </w:p>
    <w:p w14:paraId="0DC54641" w14:textId="650D7DB0" w:rsidR="00950A90" w:rsidRPr="00950A90" w:rsidRDefault="00950A90" w:rsidP="00950A90">
      <w:pPr>
        <w:pBdr>
          <w:top w:val="single" w:sz="4" w:space="1" w:color="auto"/>
          <w:left w:val="single" w:sz="4" w:space="4" w:color="auto"/>
          <w:bottom w:val="single" w:sz="4" w:space="1" w:color="auto"/>
          <w:right w:val="single" w:sz="4" w:space="4" w:color="auto"/>
        </w:pBdr>
        <w:spacing w:after="480" w:line="240" w:lineRule="auto"/>
      </w:pPr>
      <w:r w:rsidRPr="00950A90">
        <w:t xml:space="preserve">4. </w:t>
      </w:r>
    </w:p>
    <w:p w14:paraId="77893043" w14:textId="5D27A24A" w:rsidR="00950A90" w:rsidRPr="00950A90" w:rsidRDefault="00950A90" w:rsidP="00950A90">
      <w:pPr>
        <w:pBdr>
          <w:top w:val="single" w:sz="4" w:space="1" w:color="auto"/>
          <w:left w:val="single" w:sz="4" w:space="4" w:color="auto"/>
          <w:bottom w:val="single" w:sz="4" w:space="1" w:color="auto"/>
          <w:right w:val="single" w:sz="4" w:space="4" w:color="auto"/>
        </w:pBdr>
        <w:spacing w:after="480" w:line="240" w:lineRule="auto"/>
      </w:pPr>
      <w:r w:rsidRPr="00950A90">
        <w:t xml:space="preserve">5. </w:t>
      </w:r>
    </w:p>
    <w:p w14:paraId="519BB2CF" w14:textId="77777777" w:rsidR="00950A90" w:rsidRPr="00D4657A" w:rsidRDefault="00950A90" w:rsidP="00950A90">
      <w:pPr>
        <w:pBdr>
          <w:top w:val="single" w:sz="4" w:space="1" w:color="auto"/>
          <w:left w:val="single" w:sz="4" w:space="4" w:color="auto"/>
          <w:bottom w:val="single" w:sz="4" w:space="1" w:color="auto"/>
          <w:right w:val="single" w:sz="4" w:space="4" w:color="auto"/>
        </w:pBdr>
        <w:spacing w:line="240" w:lineRule="auto"/>
        <w:rPr>
          <w:b/>
        </w:rPr>
      </w:pPr>
    </w:p>
    <w:p w14:paraId="58C0A2AC" w14:textId="77777777" w:rsidR="005E6AAD" w:rsidRDefault="005E6AAD" w:rsidP="00AE7991">
      <w:pPr>
        <w:spacing w:after="0" w:line="240" w:lineRule="auto"/>
        <w:rPr>
          <w:rFonts w:asciiTheme="majorHAnsi" w:eastAsiaTheme="majorEastAsia" w:hAnsiTheme="majorHAnsi" w:cstheme="majorBidi"/>
          <w:b/>
          <w:color w:val="2E74B5" w:themeColor="accent1" w:themeShade="BF"/>
          <w:sz w:val="26"/>
          <w:szCs w:val="26"/>
        </w:rPr>
      </w:pPr>
      <w:r>
        <w:rPr>
          <w:b/>
        </w:rPr>
        <w:br w:type="page"/>
      </w:r>
    </w:p>
    <w:p w14:paraId="712D7CA5" w14:textId="77777777" w:rsidR="005E6AAD" w:rsidRDefault="005E6AAD" w:rsidP="00AE7991">
      <w:pPr>
        <w:pStyle w:val="Heading2"/>
        <w:spacing w:before="0" w:line="240" w:lineRule="auto"/>
        <w:rPr>
          <w:b/>
        </w:rPr>
      </w:pPr>
      <w:r>
        <w:rPr>
          <w:b/>
        </w:rPr>
        <w:t xml:space="preserve">Section 4: </w:t>
      </w:r>
      <w:r w:rsidR="00780550">
        <w:rPr>
          <w:b/>
        </w:rPr>
        <w:t>Leverage Perkins V to Advance Your Statewide Vision for CTE</w:t>
      </w:r>
    </w:p>
    <w:p w14:paraId="7913AFD0" w14:textId="5AFCCA06" w:rsidR="0061774A" w:rsidRDefault="0061774A" w:rsidP="00AE7991">
      <w:pPr>
        <w:spacing w:after="0" w:line="240" w:lineRule="auto"/>
        <w:contextualSpacing/>
        <w:rPr>
          <w:rFonts w:cstheme="minorHAnsi"/>
          <w:szCs w:val="21"/>
        </w:rPr>
      </w:pPr>
      <w:r>
        <w:rPr>
          <w:rFonts w:cstheme="minorHAnsi"/>
          <w:szCs w:val="21"/>
        </w:rPr>
        <w:t xml:space="preserve">With a statewide vision for CTE in place, it is now time to use Perkins </w:t>
      </w:r>
      <w:r w:rsidR="003C4CE2">
        <w:rPr>
          <w:rFonts w:cstheme="minorHAnsi"/>
          <w:szCs w:val="21"/>
        </w:rPr>
        <w:t xml:space="preserve">V </w:t>
      </w:r>
      <w:r>
        <w:rPr>
          <w:rFonts w:cstheme="minorHAnsi"/>
          <w:szCs w:val="21"/>
        </w:rPr>
        <w:t xml:space="preserve">to </w:t>
      </w:r>
      <w:r w:rsidR="00950A90">
        <w:rPr>
          <w:rFonts w:cstheme="minorHAnsi"/>
          <w:szCs w:val="21"/>
        </w:rPr>
        <w:t xml:space="preserve">help </w:t>
      </w:r>
      <w:r>
        <w:rPr>
          <w:rFonts w:cstheme="minorHAnsi"/>
          <w:szCs w:val="21"/>
        </w:rPr>
        <w:t xml:space="preserve">make it happen. </w:t>
      </w:r>
      <w:r w:rsidRPr="00667E61">
        <w:rPr>
          <w:rFonts w:cstheme="minorHAnsi"/>
          <w:szCs w:val="21"/>
        </w:rPr>
        <w:t xml:space="preserve">Flexibility has long been a hallmark of </w:t>
      </w:r>
      <w:r w:rsidR="00A27857">
        <w:rPr>
          <w:rFonts w:cstheme="minorHAnsi"/>
          <w:szCs w:val="21"/>
        </w:rPr>
        <w:t>Perkins</w:t>
      </w:r>
      <w:r w:rsidR="001600CB">
        <w:rPr>
          <w:rFonts w:cstheme="minorHAnsi"/>
          <w:szCs w:val="21"/>
        </w:rPr>
        <w:t>,</w:t>
      </w:r>
      <w:r w:rsidRPr="00667E61">
        <w:rPr>
          <w:rFonts w:cstheme="minorHAnsi"/>
          <w:szCs w:val="21"/>
        </w:rPr>
        <w:t xml:space="preserve"> and that tradition continues with Perkins V. </w:t>
      </w:r>
      <w:r>
        <w:rPr>
          <w:rFonts w:cstheme="minorHAnsi"/>
          <w:szCs w:val="21"/>
        </w:rPr>
        <w:t xml:space="preserve">The law offers a number of “leadership levers” that can be used to </w:t>
      </w:r>
      <w:r w:rsidRPr="0061774A">
        <w:rPr>
          <w:rFonts w:cstheme="minorHAnsi"/>
          <w:i/>
          <w:szCs w:val="21"/>
        </w:rPr>
        <w:t>require</w:t>
      </w:r>
      <w:r>
        <w:rPr>
          <w:rFonts w:cstheme="minorHAnsi"/>
          <w:szCs w:val="21"/>
        </w:rPr>
        <w:t xml:space="preserve">, </w:t>
      </w:r>
      <w:r w:rsidRPr="0061774A">
        <w:rPr>
          <w:rFonts w:cstheme="minorHAnsi"/>
          <w:i/>
          <w:szCs w:val="21"/>
        </w:rPr>
        <w:t>incentiv</w:t>
      </w:r>
      <w:r>
        <w:rPr>
          <w:rFonts w:cstheme="minorHAnsi"/>
          <w:i/>
          <w:szCs w:val="21"/>
        </w:rPr>
        <w:t>iz</w:t>
      </w:r>
      <w:r w:rsidRPr="0061774A">
        <w:rPr>
          <w:rFonts w:cstheme="minorHAnsi"/>
          <w:i/>
          <w:szCs w:val="21"/>
        </w:rPr>
        <w:t>e</w:t>
      </w:r>
      <w:r>
        <w:rPr>
          <w:rFonts w:cstheme="minorHAnsi"/>
          <w:szCs w:val="21"/>
        </w:rPr>
        <w:t xml:space="preserve"> and/or </w:t>
      </w:r>
      <w:r w:rsidRPr="0061774A">
        <w:rPr>
          <w:rFonts w:cstheme="minorHAnsi"/>
          <w:i/>
          <w:szCs w:val="21"/>
        </w:rPr>
        <w:t>support</w:t>
      </w:r>
      <w:r>
        <w:rPr>
          <w:rFonts w:cstheme="minorHAnsi"/>
          <w:szCs w:val="21"/>
        </w:rPr>
        <w:t xml:space="preserve"> strategies and activities that will advance the state’s vision and goals. </w:t>
      </w:r>
    </w:p>
    <w:p w14:paraId="034CB1BB" w14:textId="77777777" w:rsidR="0054180B" w:rsidRDefault="0054180B" w:rsidP="00AE7991">
      <w:pPr>
        <w:spacing w:after="0" w:line="240" w:lineRule="auto"/>
      </w:pPr>
    </w:p>
    <w:p w14:paraId="304B0D74" w14:textId="27F5DEA7" w:rsidR="00646011" w:rsidRPr="00A15B09" w:rsidRDefault="00646011" w:rsidP="00AE7991">
      <w:pPr>
        <w:pStyle w:val="Style1"/>
        <w:spacing w:line="240" w:lineRule="auto"/>
        <w:rPr>
          <w:rFonts w:asciiTheme="minorHAnsi" w:hAnsiTheme="minorHAnsi" w:cstheme="minorHAnsi"/>
          <w:b/>
          <w:color w:val="009AA6"/>
          <w:sz w:val="24"/>
        </w:rPr>
      </w:pPr>
      <w:r w:rsidRPr="00A15B09">
        <w:rPr>
          <w:rFonts w:asciiTheme="minorHAnsi" w:hAnsiTheme="minorHAnsi" w:cstheme="minorHAnsi"/>
          <w:b/>
          <w:color w:val="009AA6"/>
          <w:sz w:val="24"/>
        </w:rPr>
        <w:t xml:space="preserve">States can </w:t>
      </w:r>
      <w:r w:rsidRPr="00A15B09">
        <w:rPr>
          <w:rFonts w:asciiTheme="minorHAnsi" w:hAnsiTheme="minorHAnsi" w:cstheme="minorHAnsi"/>
          <w:b/>
          <w:i/>
          <w:color w:val="009AA6"/>
          <w:sz w:val="24"/>
          <w:u w:val="single"/>
        </w:rPr>
        <w:t>require</w:t>
      </w:r>
      <w:r w:rsidRPr="00A15B09">
        <w:rPr>
          <w:rFonts w:asciiTheme="minorHAnsi" w:hAnsiTheme="minorHAnsi" w:cstheme="minorHAnsi"/>
          <w:b/>
          <w:color w:val="009AA6"/>
          <w:sz w:val="24"/>
        </w:rPr>
        <w:t xml:space="preserve"> </w:t>
      </w:r>
      <w:r w:rsidR="00F33ACA">
        <w:rPr>
          <w:rFonts w:asciiTheme="minorHAnsi" w:hAnsiTheme="minorHAnsi" w:cstheme="minorHAnsi"/>
          <w:b/>
          <w:color w:val="009AA6"/>
          <w:sz w:val="24"/>
        </w:rPr>
        <w:t>strategies</w:t>
      </w:r>
      <w:r w:rsidRPr="00A15B09">
        <w:rPr>
          <w:rFonts w:asciiTheme="minorHAnsi" w:hAnsiTheme="minorHAnsi" w:cstheme="minorHAnsi"/>
          <w:b/>
          <w:color w:val="009AA6"/>
          <w:sz w:val="24"/>
        </w:rPr>
        <w:t xml:space="preserve"> and activities that align with and advance their vision for CTE</w:t>
      </w:r>
    </w:p>
    <w:p w14:paraId="4A4FEFA9" w14:textId="77777777" w:rsidR="00646011" w:rsidRPr="00A15B09" w:rsidRDefault="00646011" w:rsidP="00AE7991">
      <w:pPr>
        <w:pStyle w:val="ListParagraph"/>
        <w:numPr>
          <w:ilvl w:val="0"/>
          <w:numId w:val="17"/>
        </w:numPr>
        <w:spacing w:after="0" w:line="240" w:lineRule="auto"/>
        <w:rPr>
          <w:b/>
          <w:i/>
          <w:color w:val="009AA6"/>
          <w:u w:val="single"/>
        </w:rPr>
      </w:pPr>
      <w:r w:rsidRPr="00A15B09">
        <w:rPr>
          <w:b/>
          <w:i/>
          <w:color w:val="009AA6"/>
          <w:u w:val="single"/>
        </w:rPr>
        <w:t>Program and program of study approval</w:t>
      </w:r>
    </w:p>
    <w:p w14:paraId="77AA130A" w14:textId="50BBF675" w:rsidR="0061774A" w:rsidRDefault="00646011" w:rsidP="00AE7991">
      <w:pPr>
        <w:spacing w:line="240" w:lineRule="auto"/>
        <w:ind w:left="360"/>
        <w:contextualSpacing/>
      </w:pPr>
      <w:r w:rsidRPr="00E6484C">
        <w:t xml:space="preserve">States </w:t>
      </w:r>
      <w:r>
        <w:t>must articulate</w:t>
      </w:r>
      <w:r w:rsidR="00691D52" w:rsidRPr="00691D52">
        <w:t xml:space="preserve"> </w:t>
      </w:r>
      <w:r w:rsidR="00691D52">
        <w:t>in the state plan</w:t>
      </w:r>
      <w:r>
        <w:t xml:space="preserve"> the criteria for </w:t>
      </w:r>
      <w:r w:rsidR="00691D52">
        <w:t xml:space="preserve">which </w:t>
      </w:r>
      <w:r w:rsidR="00950A90">
        <w:t xml:space="preserve">CTE </w:t>
      </w:r>
      <w:r>
        <w:t>program</w:t>
      </w:r>
      <w:r w:rsidR="00691D52">
        <w:t>s</w:t>
      </w:r>
      <w:r w:rsidR="00B7020F">
        <w:t xml:space="preserve"> and </w:t>
      </w:r>
      <w:r w:rsidR="00A27857">
        <w:t>program</w:t>
      </w:r>
      <w:r w:rsidR="00691D52">
        <w:t>s</w:t>
      </w:r>
      <w:r w:rsidR="00A27857">
        <w:t xml:space="preserve"> of study </w:t>
      </w:r>
      <w:r w:rsidR="00691D52">
        <w:t xml:space="preserve">they will approve </w:t>
      </w:r>
      <w:r>
        <w:t xml:space="preserve">and which programs they will fund with federal dollars. States have a large degree of flexibility in setting these criteria. For example, </w:t>
      </w:r>
      <w:r w:rsidR="00603074">
        <w:rPr>
          <w:rFonts w:cstheme="minorHAnsi"/>
          <w:szCs w:val="21"/>
        </w:rPr>
        <w:t>you</w:t>
      </w:r>
      <w:r w:rsidR="00603074" w:rsidRPr="00667E61">
        <w:rPr>
          <w:rFonts w:cstheme="minorHAnsi"/>
          <w:szCs w:val="21"/>
        </w:rPr>
        <w:t xml:space="preserve"> </w:t>
      </w:r>
      <w:r w:rsidR="0061774A">
        <w:t>may:</w:t>
      </w:r>
    </w:p>
    <w:p w14:paraId="52A94F02" w14:textId="1B876A1A" w:rsidR="0061774A" w:rsidRPr="0061774A" w:rsidRDefault="0061774A" w:rsidP="00AE7991">
      <w:pPr>
        <w:pStyle w:val="ListParagraph"/>
        <w:numPr>
          <w:ilvl w:val="0"/>
          <w:numId w:val="27"/>
        </w:numPr>
        <w:spacing w:line="240" w:lineRule="auto"/>
        <w:rPr>
          <w:b/>
        </w:rPr>
      </w:pPr>
      <w:r>
        <w:t xml:space="preserve">Require all local </w:t>
      </w:r>
      <w:r w:rsidR="00CF55E3">
        <w:t xml:space="preserve">eligible </w:t>
      </w:r>
      <w:r>
        <w:t>recipients to adopt state-developed programs of study (or locally developed programs that meet the same requirements as state-developed programs of study);</w:t>
      </w:r>
    </w:p>
    <w:p w14:paraId="4448DA9D" w14:textId="77777777" w:rsidR="0061774A" w:rsidRPr="00CF55E3" w:rsidRDefault="0061774A" w:rsidP="00AE7991">
      <w:pPr>
        <w:pStyle w:val="ListParagraph"/>
        <w:numPr>
          <w:ilvl w:val="0"/>
          <w:numId w:val="27"/>
        </w:numPr>
        <w:spacing w:line="240" w:lineRule="auto"/>
        <w:rPr>
          <w:b/>
        </w:rPr>
      </w:pPr>
      <w:r>
        <w:t xml:space="preserve">Direct all Perkins funds to fully aligned secondary-postsecondary programs of study; </w:t>
      </w:r>
    </w:p>
    <w:p w14:paraId="577E7663" w14:textId="1972A80D" w:rsidR="00CF55E3" w:rsidRPr="0061774A" w:rsidRDefault="00CF55E3" w:rsidP="00AE7991">
      <w:pPr>
        <w:pStyle w:val="ListParagraph"/>
        <w:numPr>
          <w:ilvl w:val="0"/>
          <w:numId w:val="27"/>
        </w:numPr>
        <w:spacing w:line="240" w:lineRule="auto"/>
        <w:rPr>
          <w:b/>
        </w:rPr>
      </w:pPr>
      <w:r>
        <w:t>Update definitions of “course,” “credit” and/or “program” to strengthen the secondary concentrator definition;</w:t>
      </w:r>
    </w:p>
    <w:p w14:paraId="39F79F8A" w14:textId="6C3122BD" w:rsidR="0061774A" w:rsidRPr="0061774A" w:rsidRDefault="0061774A" w:rsidP="00AE7991">
      <w:pPr>
        <w:pStyle w:val="ListParagraph"/>
        <w:numPr>
          <w:ilvl w:val="0"/>
          <w:numId w:val="27"/>
        </w:numPr>
        <w:spacing w:line="240" w:lineRule="auto"/>
        <w:rPr>
          <w:b/>
        </w:rPr>
      </w:pPr>
      <w:r>
        <w:t xml:space="preserve">Require </w:t>
      </w:r>
      <w:r w:rsidR="00691D52">
        <w:t xml:space="preserve">that </w:t>
      </w:r>
      <w:r>
        <w:t>program</w:t>
      </w:r>
      <w:r w:rsidR="00691D52">
        <w:t>s</w:t>
      </w:r>
      <w:r>
        <w:t xml:space="preserve"> and programs of study b</w:t>
      </w:r>
      <w:r w:rsidR="003C4CE2">
        <w:t>e</w:t>
      </w:r>
      <w:r>
        <w:t xml:space="preserve"> submitted for approval by secondary-postsecondary consortia;</w:t>
      </w:r>
      <w:r w:rsidR="00691D52">
        <w:t xml:space="preserve"> and</w:t>
      </w:r>
    </w:p>
    <w:p w14:paraId="6BB03730" w14:textId="1FB69F8D" w:rsidR="0061774A" w:rsidRPr="0061774A" w:rsidRDefault="0061774A" w:rsidP="00AE7991">
      <w:pPr>
        <w:pStyle w:val="ListParagraph"/>
        <w:numPr>
          <w:ilvl w:val="0"/>
          <w:numId w:val="27"/>
        </w:numPr>
        <w:spacing w:after="0" w:line="240" w:lineRule="auto"/>
        <w:rPr>
          <w:b/>
        </w:rPr>
      </w:pPr>
      <w:r>
        <w:t xml:space="preserve">Set specific requirements around the evidence of </w:t>
      </w:r>
      <w:r w:rsidR="00CF55E3">
        <w:t xml:space="preserve">annual </w:t>
      </w:r>
      <w:r>
        <w:t xml:space="preserve">industry involvement and labor market alignment for program approval and review.  </w:t>
      </w:r>
    </w:p>
    <w:p w14:paraId="62422645" w14:textId="77777777" w:rsidR="0061774A" w:rsidRPr="0061774A" w:rsidRDefault="0061774A" w:rsidP="00AE7991">
      <w:pPr>
        <w:spacing w:after="0" w:line="240" w:lineRule="auto"/>
        <w:ind w:left="765"/>
        <w:rPr>
          <w:b/>
        </w:rPr>
      </w:pPr>
    </w:p>
    <w:p w14:paraId="1EC30C65" w14:textId="77777777" w:rsidR="00646011" w:rsidRPr="00A15B09" w:rsidRDefault="0061774A" w:rsidP="00AE7991">
      <w:pPr>
        <w:pStyle w:val="ListParagraph"/>
        <w:numPr>
          <w:ilvl w:val="0"/>
          <w:numId w:val="17"/>
        </w:numPr>
        <w:spacing w:after="0" w:line="240" w:lineRule="auto"/>
        <w:rPr>
          <w:b/>
          <w:i/>
          <w:color w:val="009AA6"/>
          <w:u w:val="single"/>
        </w:rPr>
      </w:pPr>
      <w:r w:rsidRPr="00A15B09">
        <w:rPr>
          <w:b/>
          <w:i/>
          <w:color w:val="009AA6"/>
          <w:u w:val="single"/>
        </w:rPr>
        <w:t>Comprehensive local needs assessment and l</w:t>
      </w:r>
      <w:r w:rsidR="00646011" w:rsidRPr="00A15B09">
        <w:rPr>
          <w:b/>
          <w:i/>
          <w:color w:val="009AA6"/>
          <w:u w:val="single"/>
        </w:rPr>
        <w:t>ocal application requirements</w:t>
      </w:r>
    </w:p>
    <w:p w14:paraId="3BBF44AD" w14:textId="33ED8A88" w:rsidR="0061774A" w:rsidRDefault="00646011" w:rsidP="00AE7991">
      <w:pPr>
        <w:spacing w:line="240" w:lineRule="auto"/>
        <w:ind w:left="360"/>
        <w:contextualSpacing/>
        <w:rPr>
          <w:rFonts w:cstheme="minorHAnsi"/>
          <w:szCs w:val="21"/>
        </w:rPr>
      </w:pPr>
      <w:r w:rsidRPr="00E6484C">
        <w:t xml:space="preserve">States </w:t>
      </w:r>
      <w:r>
        <w:t xml:space="preserve">can </w:t>
      </w:r>
      <w:r w:rsidRPr="00E6484C">
        <w:t>ensure alignment</w:t>
      </w:r>
      <w:r>
        <w:t xml:space="preserve"> with the state vision and goals by setting specific guidelines for the local application that </w:t>
      </w:r>
      <w:r w:rsidR="00950A90">
        <w:t>eligible</w:t>
      </w:r>
      <w:r>
        <w:t xml:space="preserve"> recipients must submit to receive Perkins funds. </w:t>
      </w:r>
      <w:r w:rsidRPr="00E6484C">
        <w:t xml:space="preserve">The state </w:t>
      </w:r>
      <w:r w:rsidR="00A27857">
        <w:t xml:space="preserve">should also </w:t>
      </w:r>
      <w:r>
        <w:t>provide a template to guide the de</w:t>
      </w:r>
      <w:r w:rsidRPr="00E6484C">
        <w:t>sign and execution of the comprehensive local needs assessment.</w:t>
      </w:r>
      <w:r>
        <w:t xml:space="preserve"> </w:t>
      </w:r>
      <w:r w:rsidR="0061774A" w:rsidRPr="00667E61">
        <w:rPr>
          <w:rFonts w:cstheme="minorHAnsi"/>
          <w:szCs w:val="21"/>
        </w:rPr>
        <w:t xml:space="preserve">For example, </w:t>
      </w:r>
      <w:r w:rsidR="00603074">
        <w:rPr>
          <w:rFonts w:cstheme="minorHAnsi"/>
          <w:szCs w:val="21"/>
        </w:rPr>
        <w:t>you</w:t>
      </w:r>
      <w:r w:rsidR="0061774A" w:rsidRPr="00667E61">
        <w:rPr>
          <w:rFonts w:cstheme="minorHAnsi"/>
          <w:szCs w:val="21"/>
        </w:rPr>
        <w:t xml:space="preserve"> may</w:t>
      </w:r>
      <w:r w:rsidR="0061774A">
        <w:rPr>
          <w:rFonts w:cstheme="minorHAnsi"/>
          <w:szCs w:val="21"/>
        </w:rPr>
        <w:t>:</w:t>
      </w:r>
    </w:p>
    <w:p w14:paraId="33BA6D5A" w14:textId="70E6F910" w:rsidR="0061774A" w:rsidRPr="0061774A" w:rsidRDefault="0061774A" w:rsidP="00AE7991">
      <w:pPr>
        <w:pStyle w:val="ListParagraph"/>
        <w:numPr>
          <w:ilvl w:val="0"/>
          <w:numId w:val="29"/>
        </w:numPr>
        <w:spacing w:line="240" w:lineRule="auto"/>
      </w:pPr>
      <w:r w:rsidRPr="0061774A">
        <w:rPr>
          <w:rFonts w:cstheme="minorHAnsi"/>
          <w:szCs w:val="21"/>
        </w:rPr>
        <w:t xml:space="preserve">Determine if the local application and/or local needs assessment should include additional elements beyond </w:t>
      </w:r>
      <w:r w:rsidR="00691D52">
        <w:rPr>
          <w:rFonts w:cstheme="minorHAnsi"/>
          <w:szCs w:val="21"/>
        </w:rPr>
        <w:t>the minim</w:t>
      </w:r>
      <w:r w:rsidR="00CF02E9">
        <w:rPr>
          <w:rFonts w:cstheme="minorHAnsi"/>
          <w:szCs w:val="21"/>
        </w:rPr>
        <w:t>um</w:t>
      </w:r>
      <w:r w:rsidRPr="0061774A">
        <w:rPr>
          <w:rFonts w:cstheme="minorHAnsi"/>
          <w:szCs w:val="21"/>
        </w:rPr>
        <w:t xml:space="preserve"> </w:t>
      </w:r>
      <w:r w:rsidR="00691D52">
        <w:rPr>
          <w:rFonts w:cstheme="minorHAnsi"/>
          <w:szCs w:val="21"/>
        </w:rPr>
        <w:t xml:space="preserve">requirements </w:t>
      </w:r>
      <w:r w:rsidRPr="0061774A">
        <w:rPr>
          <w:rFonts w:cstheme="minorHAnsi"/>
          <w:szCs w:val="21"/>
        </w:rPr>
        <w:t>in the law</w:t>
      </w:r>
      <w:r w:rsidR="004C679F">
        <w:rPr>
          <w:rFonts w:cstheme="minorHAnsi"/>
          <w:szCs w:val="21"/>
        </w:rPr>
        <w:t>, such as a connection to statewide attainment goals</w:t>
      </w:r>
      <w:r w:rsidR="0054357C">
        <w:rPr>
          <w:rFonts w:cstheme="minorHAnsi"/>
          <w:szCs w:val="21"/>
        </w:rPr>
        <w:t xml:space="preserve"> or specified expectations for </w:t>
      </w:r>
      <w:r w:rsidR="00691D52">
        <w:rPr>
          <w:rFonts w:cstheme="minorHAnsi"/>
          <w:szCs w:val="21"/>
        </w:rPr>
        <w:t xml:space="preserve">demonstrating </w:t>
      </w:r>
      <w:r w:rsidR="0054357C">
        <w:rPr>
          <w:rFonts w:cstheme="minorHAnsi"/>
          <w:szCs w:val="21"/>
        </w:rPr>
        <w:t>labor market alignment</w:t>
      </w:r>
      <w:r w:rsidRPr="0061774A">
        <w:rPr>
          <w:rFonts w:cstheme="minorHAnsi"/>
          <w:szCs w:val="21"/>
        </w:rPr>
        <w:t>;</w:t>
      </w:r>
    </w:p>
    <w:p w14:paraId="1201DAA2" w14:textId="737E1A85" w:rsidR="0061774A" w:rsidRPr="0061774A" w:rsidRDefault="0061774A" w:rsidP="00AE7991">
      <w:pPr>
        <w:pStyle w:val="ListParagraph"/>
        <w:numPr>
          <w:ilvl w:val="0"/>
          <w:numId w:val="29"/>
        </w:numPr>
        <w:spacing w:after="0" w:line="240" w:lineRule="auto"/>
      </w:pPr>
      <w:r w:rsidRPr="0048294B">
        <w:t xml:space="preserve">Restrict or cap </w:t>
      </w:r>
      <w:r w:rsidR="003C4CE2">
        <w:t xml:space="preserve">the amount </w:t>
      </w:r>
      <w:r w:rsidRPr="0048294B">
        <w:t xml:space="preserve">of funds </w:t>
      </w:r>
      <w:r w:rsidR="003C4CE2">
        <w:t xml:space="preserve">that </w:t>
      </w:r>
      <w:r w:rsidR="00CF55E3">
        <w:t>local eligible recipients</w:t>
      </w:r>
      <w:r w:rsidR="003C4CE2">
        <w:t xml:space="preserve"> may direct to</w:t>
      </w:r>
      <w:r w:rsidRPr="0048294B">
        <w:t xml:space="preserve"> programs and/or activities that do not support </w:t>
      </w:r>
      <w:r w:rsidR="00A15B09">
        <w:t>the statewide vision and</w:t>
      </w:r>
      <w:r w:rsidRPr="0048294B">
        <w:t xml:space="preserve"> goals (while the activities may be permissible under Perkins V, the eligible agency </w:t>
      </w:r>
      <w:r w:rsidR="003C4CE2">
        <w:t xml:space="preserve">has the discretion to specify additional parameters </w:t>
      </w:r>
      <w:r w:rsidRPr="0048294B">
        <w:t xml:space="preserve">for local </w:t>
      </w:r>
      <w:r w:rsidR="003C4CE2">
        <w:t>uses of funds</w:t>
      </w:r>
      <w:r w:rsidRPr="0048294B">
        <w:t>)</w:t>
      </w:r>
      <w:r w:rsidR="00A15B09">
        <w:t>; and</w:t>
      </w:r>
    </w:p>
    <w:p w14:paraId="6C2D3085" w14:textId="04AB7692" w:rsidR="00646011" w:rsidRDefault="00646011" w:rsidP="00AE7991">
      <w:pPr>
        <w:pStyle w:val="ListParagraph"/>
        <w:numPr>
          <w:ilvl w:val="0"/>
          <w:numId w:val="29"/>
        </w:numPr>
        <w:spacing w:line="240" w:lineRule="auto"/>
      </w:pPr>
      <w:r w:rsidRPr="0048294B">
        <w:t xml:space="preserve">Require </w:t>
      </w:r>
      <w:r w:rsidR="00CF55E3">
        <w:t>local eligible recipients</w:t>
      </w:r>
      <w:r w:rsidR="003C4CE2">
        <w:t xml:space="preserve"> </w:t>
      </w:r>
      <w:r w:rsidRPr="0048294B">
        <w:t xml:space="preserve">to dedicate funds toward </w:t>
      </w:r>
      <w:r w:rsidR="003C4CE2">
        <w:t xml:space="preserve">specific </w:t>
      </w:r>
      <w:r w:rsidRPr="0048294B">
        <w:t>areas identified as state priorities</w:t>
      </w:r>
      <w:r w:rsidR="00A15B09">
        <w:t>.</w:t>
      </w:r>
    </w:p>
    <w:p w14:paraId="1CAB5CF3" w14:textId="77777777" w:rsidR="00A15B09" w:rsidRPr="00A15B09" w:rsidRDefault="00A15B09" w:rsidP="00AE7991">
      <w:pPr>
        <w:pStyle w:val="ListParagraph"/>
        <w:spacing w:line="240" w:lineRule="auto"/>
      </w:pPr>
    </w:p>
    <w:p w14:paraId="751988DA" w14:textId="026847B1" w:rsidR="00646011" w:rsidRPr="00A15B09" w:rsidRDefault="00646011" w:rsidP="00AE7991">
      <w:pPr>
        <w:pStyle w:val="ListParagraph"/>
        <w:numPr>
          <w:ilvl w:val="0"/>
          <w:numId w:val="18"/>
        </w:numPr>
        <w:spacing w:after="0" w:line="240" w:lineRule="auto"/>
        <w:rPr>
          <w:b/>
          <w:i/>
          <w:color w:val="009AA6"/>
          <w:u w:val="single"/>
        </w:rPr>
      </w:pPr>
      <w:r w:rsidRPr="00A15B09">
        <w:rPr>
          <w:b/>
          <w:i/>
          <w:color w:val="009AA6"/>
          <w:u w:val="single"/>
        </w:rPr>
        <w:t xml:space="preserve">Definitions </w:t>
      </w:r>
    </w:p>
    <w:p w14:paraId="098B258C" w14:textId="77777777" w:rsidR="00603074" w:rsidRDefault="00603074" w:rsidP="00603074">
      <w:pPr>
        <w:spacing w:after="0" w:line="240" w:lineRule="auto"/>
        <w:ind w:left="360"/>
        <w:rPr>
          <w:sz w:val="21"/>
          <w:szCs w:val="21"/>
        </w:rPr>
      </w:pPr>
      <w:r>
        <w:t>Perkins V often references</w:t>
      </w:r>
      <w:r w:rsidRPr="00E6484C">
        <w:t xml:space="preserve"> the terms “high</w:t>
      </w:r>
      <w:r>
        <w:t xml:space="preserve"> </w:t>
      </w:r>
      <w:r w:rsidRPr="00E6484C">
        <w:t>skill,” “high</w:t>
      </w:r>
      <w:r>
        <w:t xml:space="preserve"> </w:t>
      </w:r>
      <w:r w:rsidRPr="00E6484C">
        <w:t xml:space="preserve">wage” </w:t>
      </w:r>
      <w:r>
        <w:t>and</w:t>
      </w:r>
      <w:r w:rsidRPr="00E6484C">
        <w:t xml:space="preserve"> “in</w:t>
      </w:r>
      <w:r>
        <w:t xml:space="preserve"> </w:t>
      </w:r>
      <w:r w:rsidRPr="00E6484C">
        <w:t xml:space="preserve">demand.” These terms can be found throughout the law, including in the purposes of the act, state and local plan requirements, state and local uses of funds, and core indicators of performance. </w:t>
      </w:r>
      <w:r>
        <w:t xml:space="preserve">States must set </w:t>
      </w:r>
      <w:r w:rsidRPr="009D38BC">
        <w:t xml:space="preserve">and </w:t>
      </w:r>
      <w:r>
        <w:t>communicate</w:t>
      </w:r>
      <w:r w:rsidRPr="009D38BC">
        <w:t xml:space="preserve"> </w:t>
      </w:r>
      <w:r w:rsidRPr="006A08CF">
        <w:t>clear definitions or thresholds for these terms that inform funding, program design and approval, and state leadership investments</w:t>
      </w:r>
      <w:r>
        <w:t>.</w:t>
      </w:r>
    </w:p>
    <w:p w14:paraId="4C75787D" w14:textId="77777777" w:rsidR="00603074" w:rsidRDefault="00603074" w:rsidP="00603074">
      <w:pPr>
        <w:spacing w:after="0" w:line="240" w:lineRule="auto"/>
        <w:ind w:left="360"/>
        <w:rPr>
          <w:sz w:val="21"/>
          <w:szCs w:val="21"/>
        </w:rPr>
      </w:pPr>
    </w:p>
    <w:p w14:paraId="6FA40456" w14:textId="3A2C318B" w:rsidR="00646011" w:rsidRPr="00603074" w:rsidRDefault="00603074" w:rsidP="00603074">
      <w:pPr>
        <w:spacing w:after="0" w:line="240" w:lineRule="auto"/>
        <w:ind w:left="360"/>
        <w:rPr>
          <w:sz w:val="21"/>
          <w:szCs w:val="21"/>
        </w:rPr>
      </w:pPr>
      <w:r>
        <w:rPr>
          <w:sz w:val="21"/>
          <w:szCs w:val="21"/>
        </w:rPr>
        <w:t xml:space="preserve">States should also define course, credit or CTE program for the purposes of the accountability indicators, to ensure consistency across local eligible recipients and that the indicators are measuring CTE students who intentionally are concentrating in a CTE program or program of study.  </w:t>
      </w:r>
    </w:p>
    <w:p w14:paraId="396C3719" w14:textId="3B00414F" w:rsidR="00A15B09" w:rsidRDefault="00A15B09" w:rsidP="00AE7991">
      <w:pPr>
        <w:pStyle w:val="Style3"/>
        <w:spacing w:after="0" w:line="240" w:lineRule="auto"/>
        <w:contextualSpacing/>
        <w:rPr>
          <w:rFonts w:asciiTheme="minorHAnsi" w:hAnsiTheme="minorHAnsi" w:cstheme="minorHAnsi"/>
          <w:b/>
          <w:color w:val="7AB800"/>
          <w:sz w:val="24"/>
          <w:szCs w:val="21"/>
        </w:rPr>
      </w:pPr>
      <w:r w:rsidRPr="00A15B09">
        <w:rPr>
          <w:rFonts w:asciiTheme="minorHAnsi" w:hAnsiTheme="minorHAnsi" w:cstheme="minorHAnsi"/>
          <w:b/>
          <w:color w:val="7AB800"/>
          <w:sz w:val="24"/>
          <w:szCs w:val="21"/>
        </w:rPr>
        <w:t xml:space="preserve">States can </w:t>
      </w:r>
      <w:r w:rsidRPr="00A15B09">
        <w:rPr>
          <w:rFonts w:asciiTheme="minorHAnsi" w:hAnsiTheme="minorHAnsi" w:cstheme="minorHAnsi"/>
          <w:b/>
          <w:i/>
          <w:color w:val="7AB800"/>
          <w:sz w:val="24"/>
          <w:szCs w:val="21"/>
          <w:u w:val="single"/>
        </w:rPr>
        <w:t>incentivize</w:t>
      </w:r>
      <w:r w:rsidRPr="00A15B09">
        <w:rPr>
          <w:rFonts w:asciiTheme="minorHAnsi" w:hAnsiTheme="minorHAnsi" w:cstheme="minorHAnsi"/>
          <w:b/>
          <w:color w:val="7AB800"/>
          <w:sz w:val="24"/>
          <w:szCs w:val="21"/>
        </w:rPr>
        <w:t xml:space="preserve"> </w:t>
      </w:r>
      <w:r w:rsidR="00F33ACA">
        <w:rPr>
          <w:rFonts w:asciiTheme="minorHAnsi" w:hAnsiTheme="minorHAnsi" w:cstheme="minorHAnsi"/>
          <w:b/>
          <w:color w:val="7AB800"/>
          <w:sz w:val="24"/>
          <w:szCs w:val="21"/>
        </w:rPr>
        <w:t>strategies</w:t>
      </w:r>
      <w:r w:rsidRPr="00A15B09">
        <w:rPr>
          <w:rFonts w:asciiTheme="minorHAnsi" w:hAnsiTheme="minorHAnsi" w:cstheme="minorHAnsi"/>
          <w:b/>
          <w:color w:val="7AB800"/>
          <w:sz w:val="24"/>
          <w:szCs w:val="21"/>
        </w:rPr>
        <w:t xml:space="preserve"> and activities that align with and advance their vision for CTE</w:t>
      </w:r>
    </w:p>
    <w:p w14:paraId="078A937A" w14:textId="77777777" w:rsidR="00A15B09" w:rsidRPr="00A15B09" w:rsidRDefault="00A15B09" w:rsidP="00AE7991">
      <w:pPr>
        <w:pStyle w:val="Style3"/>
        <w:spacing w:after="0" w:line="240" w:lineRule="auto"/>
        <w:contextualSpacing/>
        <w:rPr>
          <w:rFonts w:asciiTheme="minorHAnsi" w:hAnsiTheme="minorHAnsi" w:cstheme="minorHAnsi"/>
          <w:b/>
          <w:color w:val="7AB800"/>
          <w:sz w:val="24"/>
          <w:szCs w:val="21"/>
        </w:rPr>
      </w:pPr>
    </w:p>
    <w:p w14:paraId="6A48572E" w14:textId="77777777" w:rsidR="00646011" w:rsidRPr="00A15B09" w:rsidRDefault="00646011" w:rsidP="00AE7991">
      <w:pPr>
        <w:pStyle w:val="ListParagraph"/>
        <w:numPr>
          <w:ilvl w:val="0"/>
          <w:numId w:val="19"/>
        </w:numPr>
        <w:spacing w:after="0" w:line="240" w:lineRule="auto"/>
        <w:ind w:left="371"/>
        <w:rPr>
          <w:b/>
          <w:i/>
          <w:color w:val="7AB800"/>
          <w:u w:val="single"/>
        </w:rPr>
      </w:pPr>
      <w:r w:rsidRPr="00A15B09">
        <w:rPr>
          <w:b/>
          <w:i/>
          <w:color w:val="7AB800"/>
          <w:u w:val="single"/>
        </w:rPr>
        <w:t>Reserve fund</w:t>
      </w:r>
    </w:p>
    <w:p w14:paraId="744571D3" w14:textId="3AAEEC5C" w:rsidR="00646011" w:rsidRDefault="00646011" w:rsidP="00F33ACA">
      <w:pPr>
        <w:spacing w:after="120" w:line="240" w:lineRule="auto"/>
        <w:ind w:left="360"/>
      </w:pPr>
      <w:r>
        <w:t xml:space="preserve">Increased to 15 percent under Perkins V, the reserve fund is a very flexible </w:t>
      </w:r>
      <w:r w:rsidR="004C679F">
        <w:t>pot</w:t>
      </w:r>
      <w:r>
        <w:t xml:space="preserve"> of money states can direct to </w:t>
      </w:r>
      <w:r w:rsidR="00CF55E3">
        <w:t>local eligible recipients</w:t>
      </w:r>
      <w:r>
        <w:t xml:space="preserve"> competitively, through </w:t>
      </w:r>
      <w:r w:rsidR="003043C2">
        <w:t xml:space="preserve">a </w:t>
      </w:r>
      <w:r>
        <w:t xml:space="preserve">formula or by other means. </w:t>
      </w:r>
      <w:r w:rsidR="00A15B09" w:rsidRPr="00A15B09">
        <w:t>While the funds must be focused on serving specific populations (</w:t>
      </w:r>
      <w:r w:rsidR="00CF02E9">
        <w:t xml:space="preserve">those in </w:t>
      </w:r>
      <w:r w:rsidR="00A15B09" w:rsidRPr="00A15B09">
        <w:t>rural areas, areas with a high number of CTE students, areas with a high percentage of CTE students</w:t>
      </w:r>
      <w:r w:rsidR="00691D52">
        <w:t>,</w:t>
      </w:r>
      <w:r w:rsidR="00A15B09" w:rsidRPr="00A15B09">
        <w:t xml:space="preserve"> and/or areas with disparities or gaps in performance among population groups), these categories are flexible enough to all</w:t>
      </w:r>
      <w:r w:rsidR="00A15B09">
        <w:t>ow states</w:t>
      </w:r>
      <w:r w:rsidR="00A15B09" w:rsidRPr="00A15B09">
        <w:t xml:space="preserve"> to direct the funds to nearly any community or population. Perkins V also specifies that these funds should be used to spur innovation or support programs of study or career pathways aligned with state-identified high-skill, high-wage or in-demand occupations or industries. </w:t>
      </w:r>
      <w:r w:rsidR="00AE7991">
        <w:t>T</w:t>
      </w:r>
      <w:r w:rsidR="00A15B09">
        <w:t>he state may provide competitive or formula grants to:</w:t>
      </w:r>
    </w:p>
    <w:p w14:paraId="272C9DFF" w14:textId="77777777" w:rsidR="00646011" w:rsidRPr="0048294B" w:rsidRDefault="00A15B09" w:rsidP="00AE7991">
      <w:pPr>
        <w:pStyle w:val="ListParagraph"/>
        <w:numPr>
          <w:ilvl w:val="0"/>
          <w:numId w:val="21"/>
        </w:numPr>
        <w:spacing w:after="0" w:line="240" w:lineRule="auto"/>
      </w:pPr>
      <w:r>
        <w:t>Support the closing of performance gaps for special populations or sub</w:t>
      </w:r>
      <w:r w:rsidR="004C679F">
        <w:t>-</w:t>
      </w:r>
      <w:r>
        <w:t xml:space="preserve">groups; </w:t>
      </w:r>
      <w:r w:rsidR="00646011" w:rsidRPr="0048294B">
        <w:t xml:space="preserve"> </w:t>
      </w:r>
    </w:p>
    <w:p w14:paraId="75B5FA4D" w14:textId="77777777" w:rsidR="00646011" w:rsidRPr="0048294B" w:rsidRDefault="00DE4EF2" w:rsidP="00AE7991">
      <w:pPr>
        <w:pStyle w:val="ListParagraph"/>
        <w:numPr>
          <w:ilvl w:val="0"/>
          <w:numId w:val="21"/>
        </w:numPr>
        <w:spacing w:after="0" w:line="240" w:lineRule="auto"/>
      </w:pPr>
      <w:r>
        <w:t>Encourage the development of new programs of study in emerging sectors;</w:t>
      </w:r>
    </w:p>
    <w:p w14:paraId="615064CA" w14:textId="77777777" w:rsidR="00646011" w:rsidRDefault="00DE4EF2" w:rsidP="00AE7991">
      <w:pPr>
        <w:pStyle w:val="ListParagraph"/>
        <w:numPr>
          <w:ilvl w:val="0"/>
          <w:numId w:val="21"/>
        </w:numPr>
        <w:spacing w:after="0" w:line="240" w:lineRule="auto"/>
      </w:pPr>
      <w:r>
        <w:t>Expand access to work-based learning or early postsecondary opportunities in rural communities; and/or</w:t>
      </w:r>
    </w:p>
    <w:p w14:paraId="64378D4C" w14:textId="77777777" w:rsidR="00DE4EF2" w:rsidRPr="0048294B" w:rsidRDefault="00DE4EF2" w:rsidP="00AE7991">
      <w:pPr>
        <w:pStyle w:val="ListParagraph"/>
        <w:numPr>
          <w:ilvl w:val="0"/>
          <w:numId w:val="21"/>
        </w:numPr>
        <w:spacing w:after="0" w:line="240" w:lineRule="auto"/>
      </w:pPr>
      <w:r>
        <w:t>Accelerate program of study implementation in urban areas (and retirement of less rigorous programs).</w:t>
      </w:r>
    </w:p>
    <w:p w14:paraId="42347660" w14:textId="77777777" w:rsidR="00A15B09" w:rsidRPr="004C679F" w:rsidRDefault="004C679F" w:rsidP="004C679F">
      <w:pPr>
        <w:tabs>
          <w:tab w:val="left" w:pos="3945"/>
        </w:tabs>
        <w:spacing w:after="0" w:line="240" w:lineRule="auto"/>
        <w:ind w:left="360"/>
        <w:rPr>
          <w:sz w:val="14"/>
        </w:rPr>
      </w:pPr>
      <w:r w:rsidRPr="004C679F">
        <w:rPr>
          <w:sz w:val="14"/>
        </w:rPr>
        <w:tab/>
      </w:r>
    </w:p>
    <w:p w14:paraId="71AE0B93" w14:textId="2118A568" w:rsidR="00646011" w:rsidRPr="00A15B09" w:rsidRDefault="00F33ACA" w:rsidP="00AE7991">
      <w:pPr>
        <w:spacing w:after="0" w:line="240" w:lineRule="auto"/>
        <w:ind w:left="371"/>
        <w:rPr>
          <w:i/>
        </w:rPr>
      </w:pPr>
      <w:r w:rsidRPr="00F33ACA">
        <w:rPr>
          <w:b/>
          <w:i/>
        </w:rPr>
        <w:t>NOTE</w:t>
      </w:r>
      <w:r>
        <w:rPr>
          <w:i/>
        </w:rPr>
        <w:t xml:space="preserve">: </w:t>
      </w:r>
      <w:r w:rsidR="00646011" w:rsidRPr="00A15B09">
        <w:rPr>
          <w:i/>
        </w:rPr>
        <w:t xml:space="preserve">A state’s decision about whether to have a reserve fund, its focus and </w:t>
      </w:r>
      <w:r w:rsidR="00691D52">
        <w:rPr>
          <w:i/>
        </w:rPr>
        <w:t xml:space="preserve">the </w:t>
      </w:r>
      <w:r w:rsidR="00646011" w:rsidRPr="00A15B09">
        <w:rPr>
          <w:i/>
        </w:rPr>
        <w:t xml:space="preserve">distribution methodology can change annually. </w:t>
      </w:r>
      <w:r w:rsidR="00AE7991">
        <w:rPr>
          <w:i/>
        </w:rPr>
        <w:t>The state should develop</w:t>
      </w:r>
      <w:r w:rsidR="00DE4EF2">
        <w:rPr>
          <w:i/>
        </w:rPr>
        <w:t xml:space="preserve"> an evaluation strategy to measure the success and impact of the reserve fund</w:t>
      </w:r>
      <w:r w:rsidR="003043C2">
        <w:rPr>
          <w:i/>
        </w:rPr>
        <w:t>.</w:t>
      </w:r>
    </w:p>
    <w:p w14:paraId="3CFF0A47" w14:textId="77777777" w:rsidR="00646011" w:rsidRDefault="00646011" w:rsidP="00AE7991">
      <w:pPr>
        <w:spacing w:after="0" w:line="240" w:lineRule="auto"/>
        <w:contextualSpacing/>
      </w:pPr>
    </w:p>
    <w:p w14:paraId="1F3A13A5" w14:textId="77777777" w:rsidR="00646011" w:rsidRPr="00A15B09" w:rsidRDefault="00646011" w:rsidP="00AE7991">
      <w:pPr>
        <w:pStyle w:val="ListParagraph"/>
        <w:numPr>
          <w:ilvl w:val="0"/>
          <w:numId w:val="19"/>
        </w:numPr>
        <w:spacing w:after="0" w:line="240" w:lineRule="auto"/>
        <w:ind w:left="371"/>
        <w:rPr>
          <w:b/>
          <w:i/>
          <w:color w:val="7AB800"/>
          <w:u w:val="single"/>
        </w:rPr>
      </w:pPr>
      <w:r w:rsidRPr="00A15B09">
        <w:rPr>
          <w:b/>
          <w:i/>
          <w:color w:val="7AB800"/>
          <w:u w:val="single"/>
        </w:rPr>
        <w:t>State leadership funds</w:t>
      </w:r>
    </w:p>
    <w:p w14:paraId="12107038" w14:textId="2B93CE1D" w:rsidR="00646011" w:rsidRDefault="00646011" w:rsidP="00AE7991">
      <w:pPr>
        <w:spacing w:after="120" w:line="240" w:lineRule="auto"/>
        <w:ind w:left="360"/>
      </w:pPr>
      <w:r>
        <w:t>States may set aside 10 percent of their state Perkins allocation for state leadership activities.</w:t>
      </w:r>
      <w:r w:rsidR="00CF55E3">
        <w:t xml:space="preserve"> As a first step, states should identify their theory of action around how they will use these funds. T</w:t>
      </w:r>
      <w:r>
        <w:t xml:space="preserve">hese decisions send clear signals to </w:t>
      </w:r>
      <w:r w:rsidR="00CF55E3">
        <w:t>local eligible recipients</w:t>
      </w:r>
      <w:r>
        <w:t xml:space="preserve"> about state priorities and the overall vision for CTE.</w:t>
      </w:r>
      <w:r w:rsidR="00DE4EF2">
        <w:t xml:space="preserve"> State leadership funds can be used in a variety of ways to advance state goals and priorities; for example, </w:t>
      </w:r>
      <w:r w:rsidR="00603074">
        <w:rPr>
          <w:rFonts w:cstheme="minorHAnsi"/>
          <w:szCs w:val="21"/>
        </w:rPr>
        <w:t>you</w:t>
      </w:r>
      <w:r w:rsidR="00603074" w:rsidRPr="00667E61">
        <w:rPr>
          <w:rFonts w:cstheme="minorHAnsi"/>
          <w:szCs w:val="21"/>
        </w:rPr>
        <w:t xml:space="preserve"> </w:t>
      </w:r>
      <w:r w:rsidR="00DE4EF2">
        <w:t xml:space="preserve">may: </w:t>
      </w:r>
    </w:p>
    <w:p w14:paraId="1BADCE91" w14:textId="77777777" w:rsidR="00DE4EF2" w:rsidRPr="00DE4EF2" w:rsidRDefault="00DE4EF2" w:rsidP="00AE7991">
      <w:pPr>
        <w:pStyle w:val="ListParagraph"/>
        <w:numPr>
          <w:ilvl w:val="0"/>
          <w:numId w:val="13"/>
        </w:numPr>
        <w:spacing w:after="0" w:line="240" w:lineRule="auto"/>
      </w:pPr>
      <w:r>
        <w:rPr>
          <w:rFonts w:cstheme="minorHAnsi"/>
          <w:szCs w:val="21"/>
        </w:rPr>
        <w:t>D</w:t>
      </w:r>
      <w:r w:rsidRPr="00667E61">
        <w:rPr>
          <w:rFonts w:cstheme="minorHAnsi"/>
          <w:szCs w:val="21"/>
        </w:rPr>
        <w:t xml:space="preserve">etermine how much to invest in </w:t>
      </w:r>
      <w:r>
        <w:rPr>
          <w:rFonts w:cstheme="minorHAnsi"/>
          <w:szCs w:val="21"/>
        </w:rPr>
        <w:t xml:space="preserve">each of </w:t>
      </w:r>
      <w:r w:rsidRPr="00667E61">
        <w:rPr>
          <w:rFonts w:cstheme="minorHAnsi"/>
          <w:szCs w:val="21"/>
        </w:rPr>
        <w:t>the five required uses of funds</w:t>
      </w:r>
      <w:r>
        <w:rPr>
          <w:rFonts w:cstheme="minorHAnsi"/>
          <w:szCs w:val="21"/>
        </w:rPr>
        <w:t>;</w:t>
      </w:r>
      <w:r w:rsidRPr="00667E61">
        <w:rPr>
          <w:rFonts w:cstheme="minorHAnsi"/>
          <w:szCs w:val="21"/>
        </w:rPr>
        <w:t xml:space="preserve"> </w:t>
      </w:r>
    </w:p>
    <w:p w14:paraId="75DA4952" w14:textId="1739BADA" w:rsidR="00DE4EF2" w:rsidRPr="00DE4EF2" w:rsidRDefault="00DE4EF2" w:rsidP="00AE7991">
      <w:pPr>
        <w:pStyle w:val="ListParagraph"/>
        <w:numPr>
          <w:ilvl w:val="0"/>
          <w:numId w:val="13"/>
        </w:numPr>
        <w:spacing w:after="0" w:line="240" w:lineRule="auto"/>
      </w:pPr>
      <w:r>
        <w:rPr>
          <w:rFonts w:cstheme="minorHAnsi"/>
          <w:szCs w:val="21"/>
        </w:rPr>
        <w:t xml:space="preserve">Determine how much to invest </w:t>
      </w:r>
      <w:r w:rsidR="00691D52">
        <w:rPr>
          <w:rFonts w:cstheme="minorHAnsi"/>
          <w:szCs w:val="21"/>
        </w:rPr>
        <w:t xml:space="preserve">— </w:t>
      </w:r>
      <w:r>
        <w:rPr>
          <w:rFonts w:cstheme="minorHAnsi"/>
          <w:szCs w:val="21"/>
        </w:rPr>
        <w:t xml:space="preserve">if anything at all </w:t>
      </w:r>
      <w:r w:rsidR="00691D52">
        <w:rPr>
          <w:rFonts w:cstheme="minorHAnsi"/>
          <w:szCs w:val="21"/>
        </w:rPr>
        <w:t xml:space="preserve">— </w:t>
      </w:r>
      <w:r>
        <w:rPr>
          <w:rFonts w:cstheme="minorHAnsi"/>
          <w:szCs w:val="21"/>
        </w:rPr>
        <w:t>i</w:t>
      </w:r>
      <w:r w:rsidRPr="00667E61">
        <w:rPr>
          <w:rFonts w:cstheme="minorHAnsi"/>
          <w:szCs w:val="21"/>
        </w:rPr>
        <w:t xml:space="preserve">n </w:t>
      </w:r>
      <w:r>
        <w:rPr>
          <w:rFonts w:cstheme="minorHAnsi"/>
          <w:szCs w:val="21"/>
        </w:rPr>
        <w:t>any</w:t>
      </w:r>
      <w:r w:rsidRPr="00667E61">
        <w:rPr>
          <w:rFonts w:cstheme="minorHAnsi"/>
          <w:szCs w:val="21"/>
        </w:rPr>
        <w:t xml:space="preserve"> of </w:t>
      </w:r>
      <w:r>
        <w:rPr>
          <w:rFonts w:cstheme="minorHAnsi"/>
          <w:szCs w:val="21"/>
        </w:rPr>
        <w:t>the 25 permissible activities; and</w:t>
      </w:r>
    </w:p>
    <w:p w14:paraId="523BB4EA" w14:textId="519C28D4" w:rsidR="00646011" w:rsidRPr="0048294B" w:rsidRDefault="00DE4EF2" w:rsidP="00AE7991">
      <w:pPr>
        <w:pStyle w:val="ListParagraph"/>
        <w:numPr>
          <w:ilvl w:val="0"/>
          <w:numId w:val="13"/>
        </w:numPr>
        <w:spacing w:after="0" w:line="240" w:lineRule="auto"/>
      </w:pPr>
      <w:r>
        <w:t xml:space="preserve">Use the fund to create </w:t>
      </w:r>
      <w:r w:rsidR="00646011" w:rsidRPr="0048294B">
        <w:t xml:space="preserve">incentive grants </w:t>
      </w:r>
      <w:r w:rsidR="003175D4">
        <w:t>for</w:t>
      </w:r>
      <w:r w:rsidR="003175D4" w:rsidRPr="0048294B">
        <w:t xml:space="preserve"> </w:t>
      </w:r>
      <w:r w:rsidR="00CF55E3">
        <w:t>eligible recipients</w:t>
      </w:r>
      <w:r>
        <w:t xml:space="preserve"> focused on:</w:t>
      </w:r>
    </w:p>
    <w:p w14:paraId="57986506" w14:textId="573DA807" w:rsidR="00646011" w:rsidRPr="0048294B" w:rsidRDefault="00646011" w:rsidP="00AE7991">
      <w:pPr>
        <w:pStyle w:val="ListParagraph"/>
        <w:numPr>
          <w:ilvl w:val="1"/>
          <w:numId w:val="13"/>
        </w:numPr>
        <w:spacing w:after="0" w:line="240" w:lineRule="auto"/>
      </w:pPr>
      <w:r w:rsidRPr="0048294B">
        <w:t>Exceeding performance targets</w:t>
      </w:r>
      <w:r w:rsidR="00691D52">
        <w:t>,</w:t>
      </w:r>
    </w:p>
    <w:p w14:paraId="0C68863A" w14:textId="7363E9CF" w:rsidR="00646011" w:rsidRPr="0048294B" w:rsidRDefault="00646011" w:rsidP="00AE7991">
      <w:pPr>
        <w:pStyle w:val="ListParagraph"/>
        <w:numPr>
          <w:ilvl w:val="1"/>
          <w:numId w:val="13"/>
        </w:numPr>
        <w:spacing w:after="0" w:line="240" w:lineRule="auto"/>
      </w:pPr>
      <w:r w:rsidRPr="0048294B">
        <w:t>Developing connections between secondary and postsecondary education and training</w:t>
      </w:r>
      <w:r w:rsidR="00691D52">
        <w:t>,</w:t>
      </w:r>
    </w:p>
    <w:p w14:paraId="20F219E4" w14:textId="5B0D9F29" w:rsidR="00646011" w:rsidRPr="0048294B" w:rsidRDefault="00646011" w:rsidP="00AE7991">
      <w:pPr>
        <w:pStyle w:val="ListParagraph"/>
        <w:numPr>
          <w:ilvl w:val="1"/>
          <w:numId w:val="13"/>
        </w:numPr>
        <w:spacing w:after="0" w:line="240" w:lineRule="auto"/>
      </w:pPr>
      <w:r w:rsidRPr="0048294B">
        <w:t>Adopting and integrating coherent and rigorous content aligned with challenging academic standards and technical coursework</w:t>
      </w:r>
      <w:r w:rsidR="00691D52">
        <w:t>,</w:t>
      </w:r>
    </w:p>
    <w:p w14:paraId="02D809DD" w14:textId="4F61EC93" w:rsidR="00646011" w:rsidRPr="0048294B" w:rsidRDefault="004C679F" w:rsidP="00AE7991">
      <w:pPr>
        <w:pStyle w:val="ListParagraph"/>
        <w:numPr>
          <w:ilvl w:val="1"/>
          <w:numId w:val="13"/>
        </w:numPr>
        <w:spacing w:after="0" w:line="240" w:lineRule="auto"/>
      </w:pPr>
      <w:r>
        <w:t>Demonstrating p</w:t>
      </w:r>
      <w:r w:rsidR="00646011" w:rsidRPr="0048294B">
        <w:t xml:space="preserve">rogress in having </w:t>
      </w:r>
      <w:r>
        <w:t xml:space="preserve">learners from </w:t>
      </w:r>
      <w:r w:rsidR="00646011" w:rsidRPr="0048294B">
        <w:t>special populations meet local performance targets</w:t>
      </w:r>
      <w:r w:rsidR="00603074">
        <w:t>, and/or</w:t>
      </w:r>
    </w:p>
    <w:p w14:paraId="35FFAC35" w14:textId="3F79FCB7" w:rsidR="00DE4EF2" w:rsidRPr="0048294B" w:rsidRDefault="00691D52" w:rsidP="00AE7991">
      <w:pPr>
        <w:pStyle w:val="ListParagraph"/>
        <w:numPr>
          <w:ilvl w:val="1"/>
          <w:numId w:val="13"/>
        </w:numPr>
        <w:spacing w:after="0" w:line="240" w:lineRule="auto"/>
      </w:pPr>
      <w:r>
        <w:t>Providing r</w:t>
      </w:r>
      <w:r w:rsidRPr="00DE4EF2">
        <w:t>eward</w:t>
      </w:r>
      <w:r>
        <w:t xml:space="preserve">s </w:t>
      </w:r>
      <w:r w:rsidR="004C679F">
        <w:t>for</w:t>
      </w:r>
      <w:r w:rsidR="00DE4EF2" w:rsidRPr="00DE4EF2">
        <w:t xml:space="preserve"> eligible recipients that elect to pool funds</w:t>
      </w:r>
      <w:r w:rsidR="00890BF7">
        <w:t xml:space="preserve"> to support professional development</w:t>
      </w:r>
      <w:r w:rsidR="00DE4EF2">
        <w:t>.</w:t>
      </w:r>
    </w:p>
    <w:p w14:paraId="2C7E5029" w14:textId="77777777" w:rsidR="00646011" w:rsidRPr="004C679F" w:rsidRDefault="004C679F" w:rsidP="004C679F">
      <w:pPr>
        <w:tabs>
          <w:tab w:val="left" w:pos="1515"/>
        </w:tabs>
        <w:spacing w:after="0" w:line="240" w:lineRule="auto"/>
        <w:rPr>
          <w:sz w:val="16"/>
        </w:rPr>
      </w:pPr>
      <w:r w:rsidRPr="004C679F">
        <w:rPr>
          <w:sz w:val="16"/>
        </w:rPr>
        <w:tab/>
      </w:r>
    </w:p>
    <w:p w14:paraId="04D605BF" w14:textId="456A49CE" w:rsidR="00646011" w:rsidRDefault="00F33ACA" w:rsidP="00F33ACA">
      <w:pPr>
        <w:spacing w:after="0" w:line="240" w:lineRule="auto"/>
        <w:ind w:left="360"/>
        <w:rPr>
          <w:i/>
        </w:rPr>
      </w:pPr>
      <w:r w:rsidRPr="00F33ACA">
        <w:rPr>
          <w:b/>
          <w:i/>
        </w:rPr>
        <w:t>NOTE</w:t>
      </w:r>
      <w:r>
        <w:rPr>
          <w:i/>
        </w:rPr>
        <w:t xml:space="preserve">: </w:t>
      </w:r>
      <w:r w:rsidR="00646011" w:rsidRPr="00DE4EF2">
        <w:rPr>
          <w:i/>
        </w:rPr>
        <w:t xml:space="preserve">Decisions about </w:t>
      </w:r>
      <w:r w:rsidR="003175D4">
        <w:rPr>
          <w:i/>
        </w:rPr>
        <w:t xml:space="preserve">the </w:t>
      </w:r>
      <w:r w:rsidR="00646011" w:rsidRPr="00DE4EF2">
        <w:rPr>
          <w:i/>
        </w:rPr>
        <w:t xml:space="preserve">strategic use of </w:t>
      </w:r>
      <w:r w:rsidR="00691D52">
        <w:rPr>
          <w:i/>
        </w:rPr>
        <w:t>s</w:t>
      </w:r>
      <w:r w:rsidR="00691D52" w:rsidRPr="00DE4EF2">
        <w:rPr>
          <w:i/>
        </w:rPr>
        <w:t xml:space="preserve">tate </w:t>
      </w:r>
      <w:r w:rsidR="00646011" w:rsidRPr="00DE4EF2">
        <w:rPr>
          <w:i/>
        </w:rPr>
        <w:t xml:space="preserve">leadership funds may be challenged by various interest groups </w:t>
      </w:r>
      <w:r w:rsidR="00691D52">
        <w:rPr>
          <w:i/>
        </w:rPr>
        <w:t>that</w:t>
      </w:r>
      <w:r w:rsidR="00691D52" w:rsidRPr="00DE4EF2">
        <w:rPr>
          <w:i/>
        </w:rPr>
        <w:t xml:space="preserve"> </w:t>
      </w:r>
      <w:r w:rsidR="00646011" w:rsidRPr="00DE4EF2">
        <w:rPr>
          <w:i/>
        </w:rPr>
        <w:t xml:space="preserve">may be accustomed to receiving funding due to past practice. </w:t>
      </w:r>
      <w:r w:rsidR="00691D52">
        <w:rPr>
          <w:i/>
        </w:rPr>
        <w:t>A</w:t>
      </w:r>
      <w:r w:rsidR="00646011" w:rsidRPr="00DE4EF2">
        <w:rPr>
          <w:i/>
        </w:rPr>
        <w:t xml:space="preserve">dditional consultation and meetings with specific organizations, groups and stakeholders </w:t>
      </w:r>
      <w:r w:rsidR="00691D52">
        <w:rPr>
          <w:i/>
        </w:rPr>
        <w:t xml:space="preserve">may be needed </w:t>
      </w:r>
      <w:r w:rsidR="00646011" w:rsidRPr="00DE4EF2">
        <w:rPr>
          <w:i/>
        </w:rPr>
        <w:t>to explain the rationale behind these decisions as they unfold. In some cases, if there are existing contracts and agreements, transition</w:t>
      </w:r>
      <w:r w:rsidR="00691D52">
        <w:rPr>
          <w:i/>
        </w:rPr>
        <w:t>ing</w:t>
      </w:r>
      <w:r w:rsidR="00646011" w:rsidRPr="00DE4EF2">
        <w:rPr>
          <w:i/>
        </w:rPr>
        <w:t xml:space="preserve"> to new funding dec</w:t>
      </w:r>
      <w:r w:rsidR="00AE7991">
        <w:rPr>
          <w:i/>
        </w:rPr>
        <w:t>isions over a period of time</w:t>
      </w:r>
      <w:r w:rsidR="00691D52">
        <w:rPr>
          <w:i/>
        </w:rPr>
        <w:t xml:space="preserve"> may be necessary</w:t>
      </w:r>
      <w:r w:rsidR="00AE7991">
        <w:rPr>
          <w:i/>
        </w:rPr>
        <w:t xml:space="preserve">. </w:t>
      </w:r>
      <w:r w:rsidR="00CF55E3">
        <w:rPr>
          <w:i/>
        </w:rPr>
        <w:t>Local eligible recipients</w:t>
      </w:r>
      <w:r w:rsidR="00646011" w:rsidRPr="00DE4EF2">
        <w:rPr>
          <w:i/>
        </w:rPr>
        <w:t xml:space="preserve"> </w:t>
      </w:r>
      <w:r w:rsidR="003043C2">
        <w:rPr>
          <w:i/>
        </w:rPr>
        <w:t xml:space="preserve">may pool funds </w:t>
      </w:r>
      <w:r w:rsidR="00646011" w:rsidRPr="00DE4EF2">
        <w:rPr>
          <w:i/>
        </w:rPr>
        <w:t>for professional development</w:t>
      </w:r>
      <w:r w:rsidR="00691D52">
        <w:rPr>
          <w:i/>
        </w:rPr>
        <w:t>,</w:t>
      </w:r>
      <w:r w:rsidR="00646011" w:rsidRPr="00DE4EF2">
        <w:rPr>
          <w:i/>
        </w:rPr>
        <w:t xml:space="preserve"> and </w:t>
      </w:r>
      <w:r w:rsidR="003043C2">
        <w:rPr>
          <w:i/>
        </w:rPr>
        <w:t xml:space="preserve">this option </w:t>
      </w:r>
      <w:r w:rsidR="004C679F">
        <w:rPr>
          <w:i/>
        </w:rPr>
        <w:t>may</w:t>
      </w:r>
      <w:r w:rsidR="00646011" w:rsidRPr="00DE4EF2">
        <w:rPr>
          <w:i/>
        </w:rPr>
        <w:t xml:space="preserve"> need to be encouraged. </w:t>
      </w:r>
    </w:p>
    <w:p w14:paraId="7ABDA209" w14:textId="77777777" w:rsidR="00603074" w:rsidRPr="00DE4EF2" w:rsidRDefault="00603074" w:rsidP="00F33ACA">
      <w:pPr>
        <w:spacing w:after="0" w:line="240" w:lineRule="auto"/>
        <w:ind w:left="360"/>
        <w:rPr>
          <w:i/>
        </w:rPr>
      </w:pPr>
    </w:p>
    <w:p w14:paraId="2409479B" w14:textId="10B690DD" w:rsidR="00890BF7" w:rsidRDefault="00890BF7" w:rsidP="00AE7991">
      <w:pPr>
        <w:pStyle w:val="Style3"/>
        <w:spacing w:after="0" w:line="240" w:lineRule="auto"/>
        <w:contextualSpacing/>
        <w:rPr>
          <w:rFonts w:asciiTheme="minorHAnsi" w:hAnsiTheme="minorHAnsi" w:cstheme="minorHAnsi"/>
          <w:b/>
          <w:color w:val="FF6D14"/>
          <w:sz w:val="24"/>
          <w:szCs w:val="21"/>
        </w:rPr>
      </w:pPr>
      <w:r w:rsidRPr="00890BF7">
        <w:rPr>
          <w:rFonts w:asciiTheme="minorHAnsi" w:hAnsiTheme="minorHAnsi" w:cstheme="minorHAnsi"/>
          <w:b/>
          <w:color w:val="FF6D14"/>
          <w:sz w:val="24"/>
          <w:szCs w:val="21"/>
        </w:rPr>
        <w:t xml:space="preserve">States can </w:t>
      </w:r>
      <w:r w:rsidRPr="00890BF7">
        <w:rPr>
          <w:rFonts w:asciiTheme="minorHAnsi" w:hAnsiTheme="minorHAnsi" w:cstheme="minorHAnsi"/>
          <w:b/>
          <w:i/>
          <w:color w:val="FF6D14"/>
          <w:sz w:val="24"/>
          <w:szCs w:val="21"/>
          <w:u w:val="single"/>
        </w:rPr>
        <w:t>support</w:t>
      </w:r>
      <w:r w:rsidRPr="00890BF7">
        <w:rPr>
          <w:rFonts w:asciiTheme="minorHAnsi" w:hAnsiTheme="minorHAnsi" w:cstheme="minorHAnsi"/>
          <w:b/>
          <w:color w:val="FF6D14"/>
          <w:sz w:val="24"/>
          <w:szCs w:val="21"/>
        </w:rPr>
        <w:t xml:space="preserve"> </w:t>
      </w:r>
      <w:r w:rsidR="00F33ACA">
        <w:rPr>
          <w:rFonts w:asciiTheme="minorHAnsi" w:hAnsiTheme="minorHAnsi" w:cstheme="minorHAnsi"/>
          <w:b/>
          <w:color w:val="FF6D14"/>
          <w:sz w:val="24"/>
          <w:szCs w:val="21"/>
        </w:rPr>
        <w:t>strategies</w:t>
      </w:r>
      <w:r w:rsidRPr="00890BF7">
        <w:rPr>
          <w:rFonts w:asciiTheme="minorHAnsi" w:hAnsiTheme="minorHAnsi" w:cstheme="minorHAnsi"/>
          <w:b/>
          <w:color w:val="FF6D14"/>
          <w:sz w:val="24"/>
          <w:szCs w:val="21"/>
        </w:rPr>
        <w:t xml:space="preserve"> and activities that align with and advance their vision for CTE</w:t>
      </w:r>
    </w:p>
    <w:p w14:paraId="130CCCF1" w14:textId="77777777" w:rsidR="00890BF7" w:rsidRPr="00890BF7" w:rsidRDefault="00890BF7" w:rsidP="00AE7991">
      <w:pPr>
        <w:pStyle w:val="Style3"/>
        <w:spacing w:after="0" w:line="240" w:lineRule="auto"/>
        <w:contextualSpacing/>
        <w:rPr>
          <w:rFonts w:asciiTheme="minorHAnsi" w:hAnsiTheme="minorHAnsi" w:cstheme="minorHAnsi"/>
          <w:b/>
          <w:color w:val="FF6D14"/>
          <w:sz w:val="24"/>
          <w:szCs w:val="21"/>
        </w:rPr>
      </w:pPr>
    </w:p>
    <w:p w14:paraId="6D1F05E6" w14:textId="77777777" w:rsidR="00833A9D" w:rsidRDefault="00890BF7" w:rsidP="00AE7991">
      <w:pPr>
        <w:pStyle w:val="ListParagraph"/>
        <w:numPr>
          <w:ilvl w:val="0"/>
          <w:numId w:val="19"/>
        </w:numPr>
        <w:spacing w:after="0" w:line="240" w:lineRule="auto"/>
        <w:ind w:left="371"/>
        <w:rPr>
          <w:b/>
          <w:i/>
          <w:color w:val="FF6D14"/>
          <w:u w:val="single"/>
        </w:rPr>
      </w:pPr>
      <w:r>
        <w:rPr>
          <w:b/>
          <w:i/>
          <w:color w:val="FF6D14"/>
          <w:u w:val="single"/>
        </w:rPr>
        <w:t xml:space="preserve">Professional </w:t>
      </w:r>
      <w:r w:rsidR="00833A9D">
        <w:rPr>
          <w:b/>
          <w:i/>
          <w:color w:val="FF6D14"/>
          <w:u w:val="single"/>
        </w:rPr>
        <w:t>development</w:t>
      </w:r>
    </w:p>
    <w:p w14:paraId="5A324C47" w14:textId="04930BF1" w:rsidR="00833A9D" w:rsidRPr="00833A9D" w:rsidRDefault="00833A9D" w:rsidP="00AE7991">
      <w:pPr>
        <w:spacing w:after="120" w:line="240" w:lineRule="auto"/>
        <w:ind w:left="371"/>
        <w:rPr>
          <w:rFonts w:cstheme="minorHAnsi"/>
          <w:szCs w:val="21"/>
        </w:rPr>
      </w:pPr>
      <w:r>
        <w:rPr>
          <w:rFonts w:cstheme="minorHAnsi"/>
          <w:szCs w:val="21"/>
        </w:rPr>
        <w:t>W</w:t>
      </w:r>
      <w:r w:rsidRPr="00833A9D">
        <w:rPr>
          <w:rFonts w:cstheme="minorHAnsi"/>
          <w:szCs w:val="21"/>
        </w:rPr>
        <w:t xml:space="preserve">hile Perkins V offers a new, formal definition of </w:t>
      </w:r>
      <w:r w:rsidR="00691D52">
        <w:rPr>
          <w:rFonts w:cstheme="minorHAnsi"/>
          <w:szCs w:val="21"/>
        </w:rPr>
        <w:t>“</w:t>
      </w:r>
      <w:r w:rsidRPr="00833A9D">
        <w:rPr>
          <w:rFonts w:cstheme="minorHAnsi"/>
          <w:szCs w:val="21"/>
        </w:rPr>
        <w:t>professional development,</w:t>
      </w:r>
      <w:r w:rsidR="00691D52">
        <w:rPr>
          <w:rFonts w:cstheme="minorHAnsi"/>
          <w:szCs w:val="21"/>
        </w:rPr>
        <w:t>”</w:t>
      </w:r>
      <w:r w:rsidRPr="00833A9D">
        <w:rPr>
          <w:rFonts w:cstheme="minorHAnsi"/>
          <w:szCs w:val="21"/>
        </w:rPr>
        <w:t xml:space="preserve"> the fact that it is a core element of the overall law is unchanged. </w:t>
      </w:r>
      <w:r w:rsidR="00691D52" w:rsidRPr="00833A9D">
        <w:rPr>
          <w:rFonts w:cstheme="minorHAnsi"/>
          <w:szCs w:val="21"/>
        </w:rPr>
        <w:t>P</w:t>
      </w:r>
      <w:r w:rsidR="00691D52">
        <w:rPr>
          <w:rFonts w:cstheme="minorHAnsi"/>
          <w:szCs w:val="21"/>
        </w:rPr>
        <w:t>rofessional development</w:t>
      </w:r>
      <w:r w:rsidR="00691D52" w:rsidRPr="00833A9D">
        <w:rPr>
          <w:rFonts w:cstheme="minorHAnsi"/>
          <w:szCs w:val="21"/>
        </w:rPr>
        <w:t xml:space="preserve"> </w:t>
      </w:r>
      <w:r w:rsidRPr="00833A9D">
        <w:rPr>
          <w:rFonts w:cstheme="minorHAnsi"/>
          <w:szCs w:val="21"/>
        </w:rPr>
        <w:t xml:space="preserve">is a both a required and </w:t>
      </w:r>
      <w:r w:rsidR="00691D52">
        <w:rPr>
          <w:rFonts w:cstheme="minorHAnsi"/>
          <w:szCs w:val="21"/>
        </w:rPr>
        <w:t xml:space="preserve">an </w:t>
      </w:r>
      <w:r w:rsidRPr="00833A9D">
        <w:rPr>
          <w:rFonts w:cstheme="minorHAnsi"/>
          <w:szCs w:val="21"/>
        </w:rPr>
        <w:t>allowable use of state leadership funds</w:t>
      </w:r>
      <w:r w:rsidR="00E83902">
        <w:rPr>
          <w:rFonts w:cstheme="minorHAnsi"/>
          <w:szCs w:val="21"/>
        </w:rPr>
        <w:t>,</w:t>
      </w:r>
      <w:r w:rsidRPr="00833A9D">
        <w:rPr>
          <w:rFonts w:cstheme="minorHAnsi"/>
          <w:szCs w:val="21"/>
        </w:rPr>
        <w:t xml:space="preserve"> and </w:t>
      </w:r>
      <w:r w:rsidR="00E83902" w:rsidRPr="00833A9D">
        <w:rPr>
          <w:rFonts w:cstheme="minorHAnsi"/>
          <w:szCs w:val="21"/>
        </w:rPr>
        <w:t>professional development</w:t>
      </w:r>
      <w:r w:rsidRPr="00833A9D">
        <w:rPr>
          <w:rFonts w:cstheme="minorHAnsi"/>
          <w:szCs w:val="21"/>
        </w:rPr>
        <w:t xml:space="preserve"> efforts must be addressed in the state plan. It is also a required component of the local application. States have a lot of authority over the types, delivery and overall content of </w:t>
      </w:r>
      <w:r w:rsidR="00E83902" w:rsidRPr="00833A9D">
        <w:rPr>
          <w:rFonts w:cstheme="minorHAnsi"/>
          <w:szCs w:val="21"/>
        </w:rPr>
        <w:t>professional development</w:t>
      </w:r>
      <w:r w:rsidRPr="00833A9D">
        <w:rPr>
          <w:rFonts w:cstheme="minorHAnsi"/>
          <w:szCs w:val="21"/>
        </w:rPr>
        <w:t xml:space="preserve"> offered through Perkins, including how it supports state goals and </w:t>
      </w:r>
      <w:r w:rsidR="00E83902">
        <w:rPr>
          <w:rFonts w:cstheme="minorHAnsi"/>
          <w:szCs w:val="21"/>
        </w:rPr>
        <w:t xml:space="preserve">the </w:t>
      </w:r>
      <w:r w:rsidRPr="00833A9D">
        <w:rPr>
          <w:rFonts w:cstheme="minorHAnsi"/>
          <w:szCs w:val="21"/>
        </w:rPr>
        <w:t>closing of performance and access gaps.</w:t>
      </w:r>
      <w:r>
        <w:rPr>
          <w:rFonts w:cstheme="minorHAnsi"/>
          <w:szCs w:val="21"/>
        </w:rPr>
        <w:t xml:space="preserve"> For example, </w:t>
      </w:r>
      <w:r w:rsidR="00603074">
        <w:rPr>
          <w:rFonts w:cstheme="minorHAnsi"/>
          <w:szCs w:val="21"/>
        </w:rPr>
        <w:t>you</w:t>
      </w:r>
      <w:r w:rsidR="00603074" w:rsidRPr="00667E61">
        <w:rPr>
          <w:rFonts w:cstheme="minorHAnsi"/>
          <w:szCs w:val="21"/>
        </w:rPr>
        <w:t xml:space="preserve"> </w:t>
      </w:r>
      <w:r>
        <w:rPr>
          <w:rFonts w:cstheme="minorHAnsi"/>
          <w:szCs w:val="21"/>
        </w:rPr>
        <w:t>may:</w:t>
      </w:r>
    </w:p>
    <w:p w14:paraId="56A52638" w14:textId="03CA65E0" w:rsidR="00AE7991" w:rsidRPr="00AE7991" w:rsidRDefault="00AE7991" w:rsidP="00AE7991">
      <w:pPr>
        <w:pStyle w:val="ListParagraph"/>
        <w:numPr>
          <w:ilvl w:val="0"/>
          <w:numId w:val="32"/>
        </w:numPr>
        <w:spacing w:after="0" w:line="240" w:lineRule="auto"/>
        <w:rPr>
          <w:i/>
        </w:rPr>
      </w:pPr>
      <w:r>
        <w:t xml:space="preserve">Offer statewide </w:t>
      </w:r>
      <w:r w:rsidR="00E83902">
        <w:t>professional development</w:t>
      </w:r>
      <w:r>
        <w:t xml:space="preserve"> on new initiatives or strategies identified in </w:t>
      </w:r>
      <w:r w:rsidR="003175D4">
        <w:t xml:space="preserve">the </w:t>
      </w:r>
      <w:r>
        <w:t xml:space="preserve">statewide vision that may be challenging for </w:t>
      </w:r>
      <w:r w:rsidR="004C679F">
        <w:t xml:space="preserve">some or </w:t>
      </w:r>
      <w:r>
        <w:t xml:space="preserve">all </w:t>
      </w:r>
      <w:r w:rsidR="00CF55E3">
        <w:t>local eligible recipients</w:t>
      </w:r>
      <w:r>
        <w:t>;</w:t>
      </w:r>
    </w:p>
    <w:p w14:paraId="18B817CD" w14:textId="1C436A36" w:rsidR="00AE7991" w:rsidRPr="00AE7991" w:rsidRDefault="00AE7991" w:rsidP="00AE7991">
      <w:pPr>
        <w:pStyle w:val="ListParagraph"/>
        <w:numPr>
          <w:ilvl w:val="0"/>
          <w:numId w:val="32"/>
        </w:numPr>
        <w:spacing w:after="0" w:line="240" w:lineRule="auto"/>
        <w:rPr>
          <w:i/>
        </w:rPr>
      </w:pPr>
      <w:r>
        <w:t>Prioritize the use of local funds on specific focus areas for local professional development, such as technical-academic integration, support for students with disabilities</w:t>
      </w:r>
      <w:r w:rsidR="00E83902">
        <w:t>,</w:t>
      </w:r>
      <w:r>
        <w:t xml:space="preserve"> or </w:t>
      </w:r>
      <w:r w:rsidR="00E83902">
        <w:t xml:space="preserve">the </w:t>
      </w:r>
      <w:r>
        <w:t xml:space="preserve">use of </w:t>
      </w:r>
      <w:r w:rsidR="003175D4">
        <w:t>LMI</w:t>
      </w:r>
      <w:r>
        <w:t xml:space="preserve"> by counseling professionals; </w:t>
      </w:r>
    </w:p>
    <w:p w14:paraId="6975C4B3" w14:textId="4422598A" w:rsidR="00AE7991" w:rsidRPr="00AE7991" w:rsidRDefault="00AE7991" w:rsidP="00AE7991">
      <w:pPr>
        <w:pStyle w:val="ListParagraph"/>
        <w:numPr>
          <w:ilvl w:val="0"/>
          <w:numId w:val="32"/>
        </w:numPr>
        <w:spacing w:after="0" w:line="240" w:lineRule="auto"/>
        <w:rPr>
          <w:i/>
        </w:rPr>
      </w:pPr>
      <w:r>
        <w:t xml:space="preserve">Provide guidance to </w:t>
      </w:r>
      <w:r w:rsidR="00CF55E3">
        <w:t>local eligible recipients</w:t>
      </w:r>
      <w:r>
        <w:t xml:space="preserve"> on how to share </w:t>
      </w:r>
      <w:r w:rsidR="003043C2">
        <w:t xml:space="preserve">the </w:t>
      </w:r>
      <w:r>
        <w:t xml:space="preserve">impact of </w:t>
      </w:r>
      <w:r w:rsidR="003043C2">
        <w:t xml:space="preserve">their </w:t>
      </w:r>
      <w:r>
        <w:t xml:space="preserve">own professional development </w:t>
      </w:r>
      <w:r w:rsidR="003043C2">
        <w:t xml:space="preserve">efforts </w:t>
      </w:r>
      <w:r>
        <w:t xml:space="preserve">in </w:t>
      </w:r>
      <w:r w:rsidR="003043C2">
        <w:t xml:space="preserve">their </w:t>
      </w:r>
      <w:r>
        <w:t>local application</w:t>
      </w:r>
      <w:r w:rsidR="003043C2">
        <w:t>s</w:t>
      </w:r>
      <w:r>
        <w:t>; and</w:t>
      </w:r>
    </w:p>
    <w:p w14:paraId="6607EDD4" w14:textId="77777777" w:rsidR="00AE7991" w:rsidRPr="00AE7991" w:rsidRDefault="00AE7991" w:rsidP="00AE7991">
      <w:pPr>
        <w:pStyle w:val="ListParagraph"/>
        <w:numPr>
          <w:ilvl w:val="0"/>
          <w:numId w:val="32"/>
        </w:numPr>
        <w:spacing w:after="0" w:line="240" w:lineRule="auto"/>
        <w:rPr>
          <w:i/>
        </w:rPr>
      </w:pPr>
      <w:r>
        <w:t xml:space="preserve">Develop virtual professional development on topics that emerge in specific regions or around specific provisions in the law. </w:t>
      </w:r>
    </w:p>
    <w:p w14:paraId="593BBFF2" w14:textId="77777777" w:rsidR="005E6AAD" w:rsidRDefault="005E6AAD" w:rsidP="00AE7991">
      <w:pPr>
        <w:tabs>
          <w:tab w:val="left" w:pos="1515"/>
        </w:tabs>
        <w:spacing w:after="0" w:line="240" w:lineRule="auto"/>
      </w:pPr>
    </w:p>
    <w:p w14:paraId="643F9043" w14:textId="614E666B" w:rsidR="00890BF7" w:rsidRPr="00890BF7" w:rsidRDefault="00890BF7" w:rsidP="00AE7991">
      <w:pPr>
        <w:pStyle w:val="ListParagraph"/>
        <w:numPr>
          <w:ilvl w:val="0"/>
          <w:numId w:val="19"/>
        </w:numPr>
        <w:spacing w:after="0" w:line="240" w:lineRule="auto"/>
        <w:ind w:left="371"/>
        <w:rPr>
          <w:b/>
          <w:i/>
          <w:color w:val="FF6D14"/>
          <w:u w:val="single"/>
        </w:rPr>
      </w:pPr>
      <w:r>
        <w:rPr>
          <w:b/>
          <w:i/>
          <w:color w:val="FF6D14"/>
          <w:u w:val="single"/>
        </w:rPr>
        <w:t xml:space="preserve">Technical </w:t>
      </w:r>
      <w:r w:rsidR="00055683">
        <w:rPr>
          <w:b/>
          <w:i/>
          <w:color w:val="FF6D14"/>
          <w:u w:val="single"/>
        </w:rPr>
        <w:t xml:space="preserve">assistance </w:t>
      </w:r>
    </w:p>
    <w:p w14:paraId="758E4303" w14:textId="15121D59" w:rsidR="00AE7991" w:rsidRDefault="00AE7991" w:rsidP="00F33ACA">
      <w:pPr>
        <w:spacing w:after="120" w:line="240" w:lineRule="auto"/>
        <w:ind w:left="371"/>
        <w:rPr>
          <w:rFonts w:cstheme="minorHAnsi"/>
          <w:szCs w:val="21"/>
        </w:rPr>
      </w:pPr>
      <w:r w:rsidRPr="00667E61">
        <w:rPr>
          <w:rFonts w:cstheme="minorHAnsi"/>
          <w:szCs w:val="21"/>
        </w:rPr>
        <w:t>Technical assistance (TA) is a required use of state leadership funds</w:t>
      </w:r>
      <w:r w:rsidR="00E83902">
        <w:rPr>
          <w:rFonts w:cstheme="minorHAnsi"/>
          <w:szCs w:val="21"/>
        </w:rPr>
        <w:t>,</w:t>
      </w:r>
      <w:r w:rsidRPr="00667E61">
        <w:rPr>
          <w:rFonts w:cstheme="minorHAnsi"/>
          <w:szCs w:val="21"/>
        </w:rPr>
        <w:t xml:space="preserve"> and state</w:t>
      </w:r>
      <w:r w:rsidR="00E83902">
        <w:rPr>
          <w:rFonts w:cstheme="minorHAnsi"/>
          <w:szCs w:val="21"/>
        </w:rPr>
        <w:t>s</w:t>
      </w:r>
      <w:r w:rsidRPr="00667E61">
        <w:rPr>
          <w:rFonts w:cstheme="minorHAnsi"/>
          <w:szCs w:val="21"/>
        </w:rPr>
        <w:t xml:space="preserve"> may use state administration funds for </w:t>
      </w:r>
      <w:r w:rsidR="004C679F">
        <w:rPr>
          <w:rFonts w:cstheme="minorHAnsi"/>
          <w:szCs w:val="21"/>
        </w:rPr>
        <w:t>TA</w:t>
      </w:r>
      <w:r w:rsidRPr="00667E61">
        <w:rPr>
          <w:rFonts w:cstheme="minorHAnsi"/>
          <w:szCs w:val="21"/>
        </w:rPr>
        <w:t xml:space="preserve"> related to the administration of Perkins. Importantly, the state plan </w:t>
      </w:r>
      <w:r w:rsidR="00F45D21">
        <w:rPr>
          <w:rFonts w:cstheme="minorHAnsi"/>
          <w:szCs w:val="21"/>
        </w:rPr>
        <w:t>must</w:t>
      </w:r>
      <w:r w:rsidRPr="00667E61">
        <w:rPr>
          <w:rFonts w:cstheme="minorHAnsi"/>
          <w:szCs w:val="21"/>
        </w:rPr>
        <w:t xml:space="preserve"> articulate how </w:t>
      </w:r>
      <w:r w:rsidR="00F45D21">
        <w:rPr>
          <w:rFonts w:cstheme="minorHAnsi"/>
          <w:szCs w:val="21"/>
        </w:rPr>
        <w:t>states</w:t>
      </w:r>
      <w:r w:rsidR="00F45D21" w:rsidRPr="00667E61">
        <w:rPr>
          <w:rFonts w:cstheme="minorHAnsi"/>
          <w:szCs w:val="21"/>
        </w:rPr>
        <w:t xml:space="preserve"> </w:t>
      </w:r>
      <w:r w:rsidRPr="00667E61">
        <w:rPr>
          <w:rFonts w:cstheme="minorHAnsi"/>
          <w:szCs w:val="21"/>
        </w:rPr>
        <w:t xml:space="preserve">will provide </w:t>
      </w:r>
      <w:r w:rsidR="00E83902">
        <w:rPr>
          <w:rFonts w:cstheme="minorHAnsi"/>
          <w:szCs w:val="21"/>
        </w:rPr>
        <w:t xml:space="preserve">TA </w:t>
      </w:r>
      <w:r w:rsidRPr="00667E61">
        <w:rPr>
          <w:rFonts w:cstheme="minorHAnsi"/>
          <w:szCs w:val="21"/>
        </w:rPr>
        <w:t xml:space="preserve">to </w:t>
      </w:r>
      <w:r w:rsidR="00CF55E3">
        <w:rPr>
          <w:rFonts w:cstheme="minorHAnsi"/>
          <w:szCs w:val="21"/>
        </w:rPr>
        <w:t>local eligible recipients</w:t>
      </w:r>
      <w:r w:rsidRPr="00667E61">
        <w:rPr>
          <w:rFonts w:cstheme="minorHAnsi"/>
          <w:szCs w:val="21"/>
        </w:rPr>
        <w:t xml:space="preserve">, including </w:t>
      </w:r>
      <w:r w:rsidR="00F45D21">
        <w:rPr>
          <w:rFonts w:cstheme="minorHAnsi"/>
          <w:szCs w:val="21"/>
        </w:rPr>
        <w:t xml:space="preserve">TA </w:t>
      </w:r>
      <w:r w:rsidRPr="00667E61">
        <w:rPr>
          <w:rFonts w:cstheme="minorHAnsi"/>
          <w:szCs w:val="21"/>
        </w:rPr>
        <w:t xml:space="preserve">on how to close disparities and gaps in performance. The approach states take to </w:t>
      </w:r>
      <w:r w:rsidR="004C679F">
        <w:rPr>
          <w:rFonts w:cstheme="minorHAnsi"/>
          <w:szCs w:val="21"/>
        </w:rPr>
        <w:t>TA</w:t>
      </w:r>
      <w:r w:rsidRPr="00667E61">
        <w:rPr>
          <w:rFonts w:cstheme="minorHAnsi"/>
          <w:szCs w:val="21"/>
        </w:rPr>
        <w:t xml:space="preserve"> can have a significant influence on moving toward the state vision for CTE. </w:t>
      </w:r>
      <w:r w:rsidR="004C679F">
        <w:rPr>
          <w:rFonts w:cstheme="minorHAnsi"/>
          <w:szCs w:val="21"/>
        </w:rPr>
        <w:t xml:space="preserve">For example, </w:t>
      </w:r>
      <w:r w:rsidR="00603074">
        <w:rPr>
          <w:rFonts w:cstheme="minorHAnsi"/>
          <w:szCs w:val="21"/>
        </w:rPr>
        <w:t>you</w:t>
      </w:r>
      <w:r w:rsidR="00603074" w:rsidRPr="00667E61">
        <w:rPr>
          <w:rFonts w:cstheme="minorHAnsi"/>
          <w:szCs w:val="21"/>
        </w:rPr>
        <w:t xml:space="preserve"> </w:t>
      </w:r>
      <w:r>
        <w:rPr>
          <w:rFonts w:cstheme="minorHAnsi"/>
          <w:szCs w:val="21"/>
        </w:rPr>
        <w:t>may:</w:t>
      </w:r>
    </w:p>
    <w:p w14:paraId="6DADC0C6" w14:textId="3D535762" w:rsidR="004C679F" w:rsidRPr="00AE7991" w:rsidRDefault="004C679F" w:rsidP="00F33ACA">
      <w:pPr>
        <w:pStyle w:val="ListParagraph"/>
        <w:numPr>
          <w:ilvl w:val="0"/>
          <w:numId w:val="33"/>
        </w:numPr>
        <w:spacing w:after="0" w:line="240" w:lineRule="auto"/>
        <w:ind w:left="714" w:hanging="357"/>
        <w:rPr>
          <w:i/>
        </w:rPr>
      </w:pPr>
      <w:r>
        <w:t xml:space="preserve">Offer statewide </w:t>
      </w:r>
      <w:r w:rsidR="0096533A">
        <w:t xml:space="preserve">or targeted </w:t>
      </w:r>
      <w:r>
        <w:t xml:space="preserve">TA on new initiatives or strategies identified in </w:t>
      </w:r>
      <w:r w:rsidR="00AF05B2">
        <w:t xml:space="preserve">the </w:t>
      </w:r>
      <w:r>
        <w:t xml:space="preserve">statewide vision that may be challenging for some or all local </w:t>
      </w:r>
      <w:r w:rsidR="00950A90">
        <w:t xml:space="preserve">eligible </w:t>
      </w:r>
      <w:r>
        <w:t>recipients; and</w:t>
      </w:r>
    </w:p>
    <w:p w14:paraId="3DC96158" w14:textId="77777777" w:rsidR="00AE7991" w:rsidRPr="00AE7991" w:rsidRDefault="00AE7991" w:rsidP="00F33ACA">
      <w:pPr>
        <w:pStyle w:val="ListParagraph"/>
        <w:numPr>
          <w:ilvl w:val="0"/>
          <w:numId w:val="33"/>
        </w:numPr>
        <w:spacing w:after="0" w:line="240" w:lineRule="auto"/>
        <w:ind w:left="714" w:hanging="357"/>
        <w:rPr>
          <w:i/>
        </w:rPr>
      </w:pPr>
      <w:r>
        <w:rPr>
          <w:rFonts w:cstheme="minorHAnsi"/>
          <w:szCs w:val="21"/>
        </w:rPr>
        <w:t xml:space="preserve">Direct state administration funds to support local implementation of the </w:t>
      </w:r>
      <w:r w:rsidRPr="00AE7991">
        <w:rPr>
          <w:rFonts w:cstheme="minorHAnsi"/>
          <w:szCs w:val="21"/>
        </w:rPr>
        <w:t>new local needs assessment</w:t>
      </w:r>
      <w:r>
        <w:rPr>
          <w:rFonts w:cstheme="minorHAnsi"/>
          <w:szCs w:val="21"/>
        </w:rPr>
        <w:t xml:space="preserve"> requirement and the transition to th</w:t>
      </w:r>
      <w:r w:rsidR="004C679F">
        <w:rPr>
          <w:rFonts w:cstheme="minorHAnsi"/>
          <w:szCs w:val="21"/>
        </w:rPr>
        <w:t>e updated accountability system.</w:t>
      </w:r>
    </w:p>
    <w:p w14:paraId="71A838B8" w14:textId="77777777" w:rsidR="00AE7991" w:rsidRPr="00AE7991" w:rsidRDefault="00AE7991" w:rsidP="00AE7991">
      <w:pPr>
        <w:spacing w:after="0" w:line="240" w:lineRule="auto"/>
        <w:ind w:left="270"/>
        <w:rPr>
          <w:i/>
        </w:rPr>
      </w:pPr>
    </w:p>
    <w:p w14:paraId="5D94DD2F" w14:textId="79FCA3AA" w:rsidR="00833A9D" w:rsidRDefault="00E83902" w:rsidP="00AE7991">
      <w:pPr>
        <w:pStyle w:val="ListParagraph"/>
        <w:numPr>
          <w:ilvl w:val="0"/>
          <w:numId w:val="19"/>
        </w:numPr>
        <w:spacing w:after="0" w:line="240" w:lineRule="auto"/>
        <w:ind w:left="371"/>
        <w:rPr>
          <w:b/>
          <w:i/>
          <w:color w:val="FF6D14"/>
          <w:u w:val="single"/>
        </w:rPr>
      </w:pPr>
      <w:r>
        <w:rPr>
          <w:b/>
          <w:i/>
          <w:color w:val="FF6D14"/>
          <w:u w:val="single"/>
        </w:rPr>
        <w:t>Set-</w:t>
      </w:r>
      <w:r w:rsidR="00055683">
        <w:rPr>
          <w:b/>
          <w:i/>
          <w:color w:val="FF6D14"/>
          <w:u w:val="single"/>
        </w:rPr>
        <w:t>asides</w:t>
      </w:r>
    </w:p>
    <w:p w14:paraId="32F6351C" w14:textId="61CC1C03" w:rsidR="00833A9D" w:rsidRPr="0048294B" w:rsidRDefault="00AE7991" w:rsidP="004579F8">
      <w:pPr>
        <w:spacing w:after="120" w:line="240" w:lineRule="auto"/>
        <w:ind w:left="360"/>
      </w:pPr>
      <w:r w:rsidRPr="00AE7991">
        <w:t>Perkins V continues</w:t>
      </w:r>
      <w:r w:rsidR="00266277">
        <w:t xml:space="preserve"> to support </w:t>
      </w:r>
      <w:r w:rsidR="00E83902">
        <w:t>set-</w:t>
      </w:r>
      <w:r w:rsidR="00266277">
        <w:t>asides</w:t>
      </w:r>
      <w:r>
        <w:t xml:space="preserve"> of state leadership funds to </w:t>
      </w:r>
      <w:r w:rsidR="00266277">
        <w:t>serve</w:t>
      </w:r>
      <w:r>
        <w:t xml:space="preserve"> learners in state correctional </w:t>
      </w:r>
      <w:r w:rsidR="0047674F">
        <w:t xml:space="preserve">institutions </w:t>
      </w:r>
      <w:r>
        <w:t xml:space="preserve">and juvenile justice </w:t>
      </w:r>
      <w:r w:rsidR="0047674F">
        <w:t>facili</w:t>
      </w:r>
      <w:r w:rsidR="00266277">
        <w:t>ties</w:t>
      </w:r>
      <w:r>
        <w:t xml:space="preserve"> (now a </w:t>
      </w:r>
      <w:r w:rsidR="0047674F">
        <w:t>maximum</w:t>
      </w:r>
      <w:r>
        <w:t xml:space="preserve"> of a 2 percent </w:t>
      </w:r>
      <w:r w:rsidR="00E83902">
        <w:t>set-</w:t>
      </w:r>
      <w:r>
        <w:t>aside)</w:t>
      </w:r>
      <w:r w:rsidR="00266277">
        <w:t xml:space="preserve"> and non</w:t>
      </w:r>
      <w:r w:rsidR="00E83902">
        <w:t>-</w:t>
      </w:r>
      <w:r w:rsidR="00266277">
        <w:t>traditional education and training</w:t>
      </w:r>
      <w:r w:rsidR="004C679F">
        <w:t>. It also</w:t>
      </w:r>
      <w:r w:rsidR="00266277">
        <w:t xml:space="preserve"> adds a new </w:t>
      </w:r>
      <w:r w:rsidR="00E83902">
        <w:t>set-</w:t>
      </w:r>
      <w:r w:rsidR="00266277">
        <w:t>aside for the recruitment of special populations into CTE (</w:t>
      </w:r>
      <w:r w:rsidR="003043C2">
        <w:t>the lesser of two options:</w:t>
      </w:r>
      <w:r w:rsidR="000415C8">
        <w:t xml:space="preserve"> </w:t>
      </w:r>
      <w:r w:rsidR="00266277">
        <w:t xml:space="preserve">0.1 percent </w:t>
      </w:r>
      <w:r w:rsidR="003043C2">
        <w:t>or</w:t>
      </w:r>
      <w:r w:rsidR="00266277">
        <w:t xml:space="preserve"> </w:t>
      </w:r>
      <w:r w:rsidR="003043C2">
        <w:t>$</w:t>
      </w:r>
      <w:r w:rsidR="00266277">
        <w:t>50,000</w:t>
      </w:r>
      <w:r w:rsidR="004C679F">
        <w:t xml:space="preserve"> </w:t>
      </w:r>
      <w:r w:rsidR="00266277">
        <w:t>of state leadership funds)</w:t>
      </w:r>
      <w:r w:rsidR="0047674F">
        <w:t>.</w:t>
      </w:r>
      <w:r w:rsidR="004579F8">
        <w:t xml:space="preserve"> These </w:t>
      </w:r>
      <w:r w:rsidR="00E83902">
        <w:t xml:space="preserve">set-asides </w:t>
      </w:r>
      <w:r w:rsidR="004579F8">
        <w:t>can and should also align with</w:t>
      </w:r>
      <w:r w:rsidR="004C679F">
        <w:t xml:space="preserve"> statewide goals. For example,</w:t>
      </w:r>
      <w:r w:rsidR="004579F8">
        <w:t xml:space="preserve"> </w:t>
      </w:r>
      <w:r w:rsidR="00603074">
        <w:rPr>
          <w:rFonts w:cstheme="minorHAnsi"/>
          <w:szCs w:val="21"/>
        </w:rPr>
        <w:t>you</w:t>
      </w:r>
      <w:r w:rsidR="00603074" w:rsidRPr="00667E61">
        <w:rPr>
          <w:rFonts w:cstheme="minorHAnsi"/>
          <w:szCs w:val="21"/>
        </w:rPr>
        <w:t xml:space="preserve"> </w:t>
      </w:r>
      <w:r w:rsidR="004579F8">
        <w:t>may:</w:t>
      </w:r>
    </w:p>
    <w:p w14:paraId="2A602F44" w14:textId="7FA9C26C" w:rsidR="00AE7991" w:rsidRPr="00833A9D" w:rsidRDefault="004579F8" w:rsidP="00F33ACA">
      <w:pPr>
        <w:pStyle w:val="ListParagraph"/>
        <w:numPr>
          <w:ilvl w:val="0"/>
          <w:numId w:val="32"/>
        </w:numPr>
        <w:spacing w:after="0" w:line="240" w:lineRule="auto"/>
        <w:ind w:left="714" w:hanging="357"/>
      </w:pPr>
      <w:r>
        <w:t>Leverage the non</w:t>
      </w:r>
      <w:r w:rsidR="00E83902">
        <w:t>-</w:t>
      </w:r>
      <w:r w:rsidR="00AE7991" w:rsidRPr="00833A9D">
        <w:t xml:space="preserve">traditional </w:t>
      </w:r>
      <w:r w:rsidR="00E83902">
        <w:t>set-</w:t>
      </w:r>
      <w:r>
        <w:t>aside to focus on key priorities such as participation in early postsecondary opportunities or expansion of work-based learning in non</w:t>
      </w:r>
      <w:r w:rsidR="00E83902">
        <w:t>-</w:t>
      </w:r>
      <w:r>
        <w:t xml:space="preserve">traditional fields; </w:t>
      </w:r>
      <w:r w:rsidR="00AE7991" w:rsidRPr="00833A9D">
        <w:t xml:space="preserve"> </w:t>
      </w:r>
    </w:p>
    <w:p w14:paraId="4702111B" w14:textId="157D5EBC" w:rsidR="00AE7991" w:rsidRPr="00833A9D" w:rsidRDefault="004579F8" w:rsidP="00AE7991">
      <w:pPr>
        <w:pStyle w:val="ListParagraph"/>
        <w:numPr>
          <w:ilvl w:val="0"/>
          <w:numId w:val="32"/>
        </w:numPr>
        <w:spacing w:after="0" w:line="240" w:lineRule="auto"/>
      </w:pPr>
      <w:r>
        <w:t xml:space="preserve">Pair </w:t>
      </w:r>
      <w:r w:rsidR="00E83902">
        <w:t>TA</w:t>
      </w:r>
      <w:r>
        <w:t xml:space="preserve"> with the special populations recruitment </w:t>
      </w:r>
      <w:r w:rsidR="00E83902">
        <w:t>set-</w:t>
      </w:r>
      <w:r>
        <w:t xml:space="preserve">aside to bring districts and institutions together to </w:t>
      </w:r>
      <w:r w:rsidR="00904E1E">
        <w:t xml:space="preserve">jointly </w:t>
      </w:r>
      <w:r>
        <w:t>create materials and communications strategies; and</w:t>
      </w:r>
    </w:p>
    <w:p w14:paraId="355704A3" w14:textId="1AE6A39D" w:rsidR="004D0D66" w:rsidRPr="003E6593" w:rsidRDefault="004579F8" w:rsidP="00AE7991">
      <w:pPr>
        <w:pStyle w:val="ListParagraph"/>
        <w:numPr>
          <w:ilvl w:val="0"/>
          <w:numId w:val="32"/>
        </w:numPr>
        <w:spacing w:after="0" w:line="240" w:lineRule="auto"/>
      </w:pPr>
      <w:r>
        <w:t xml:space="preserve">Measure the impact of the correctional </w:t>
      </w:r>
      <w:r w:rsidR="00E83902">
        <w:t>set-</w:t>
      </w:r>
      <w:r>
        <w:t xml:space="preserve">aside in </w:t>
      </w:r>
      <w:r w:rsidR="00E83902">
        <w:t xml:space="preserve">the </w:t>
      </w:r>
      <w:r>
        <w:t>statewide postsecondary attainment goal.</w:t>
      </w:r>
    </w:p>
    <w:p w14:paraId="6659B429" w14:textId="77777777" w:rsidR="00981678" w:rsidRDefault="00981678" w:rsidP="00AE7991">
      <w:pPr>
        <w:spacing w:after="0" w:line="240" w:lineRule="auto"/>
      </w:pPr>
    </w:p>
    <w:p w14:paraId="1A6165A9" w14:textId="77777777" w:rsidR="00904E1E" w:rsidRDefault="00904E1E" w:rsidP="00AE7991">
      <w:pPr>
        <w:spacing w:after="0" w:line="240" w:lineRule="auto"/>
      </w:pPr>
    </w:p>
    <w:p w14:paraId="2585B2ED" w14:textId="77777777" w:rsidR="00904E1E" w:rsidRDefault="00904E1E" w:rsidP="00AE7991">
      <w:pPr>
        <w:spacing w:after="0" w:line="240" w:lineRule="auto"/>
      </w:pPr>
    </w:p>
    <w:tbl>
      <w:tblPr>
        <w:tblStyle w:val="TableGrid"/>
        <w:tblW w:w="14575" w:type="dxa"/>
        <w:tblLook w:val="04A0" w:firstRow="1" w:lastRow="0" w:firstColumn="1" w:lastColumn="0" w:noHBand="0" w:noVBand="1"/>
      </w:tblPr>
      <w:tblGrid>
        <w:gridCol w:w="3325"/>
        <w:gridCol w:w="11250"/>
      </w:tblGrid>
      <w:tr w:rsidR="00CD1868" w14:paraId="7FDB5129" w14:textId="77777777">
        <w:trPr>
          <w:trHeight w:val="2780"/>
        </w:trPr>
        <w:tc>
          <w:tcPr>
            <w:tcW w:w="3325" w:type="dxa"/>
            <w:shd w:val="clear" w:color="auto" w:fill="009AA6"/>
            <w:vAlign w:val="center"/>
          </w:tcPr>
          <w:p w14:paraId="152E0039" w14:textId="06123AF1" w:rsidR="00CD1868" w:rsidRPr="00CD1868" w:rsidRDefault="00CD1868" w:rsidP="00F33ACA">
            <w:pPr>
              <w:spacing w:line="240" w:lineRule="auto"/>
              <w:rPr>
                <w:b/>
                <w:color w:val="FFFFFF" w:themeColor="background1"/>
                <w:sz w:val="24"/>
              </w:rPr>
            </w:pPr>
            <w:r w:rsidRPr="00CD1868">
              <w:rPr>
                <w:b/>
                <w:color w:val="FFFFFF" w:themeColor="background1"/>
                <w:sz w:val="24"/>
              </w:rPr>
              <w:t xml:space="preserve">How will you leverage Perkins to </w:t>
            </w:r>
            <w:r w:rsidRPr="00CD1868">
              <w:rPr>
                <w:b/>
                <w:i/>
                <w:color w:val="FFFFFF" w:themeColor="background1"/>
                <w:sz w:val="24"/>
                <w:u w:val="single"/>
              </w:rPr>
              <w:t>require</w:t>
            </w:r>
            <w:r w:rsidRPr="00CD1868">
              <w:rPr>
                <w:b/>
                <w:color w:val="FFFFFF" w:themeColor="background1"/>
                <w:sz w:val="24"/>
              </w:rPr>
              <w:t xml:space="preserve"> </w:t>
            </w:r>
            <w:r w:rsidR="00F33ACA">
              <w:rPr>
                <w:b/>
                <w:color w:val="FFFFFF" w:themeColor="background1"/>
                <w:sz w:val="24"/>
              </w:rPr>
              <w:t>strategies</w:t>
            </w:r>
            <w:r w:rsidRPr="00CD1868">
              <w:rPr>
                <w:b/>
                <w:color w:val="FFFFFF" w:themeColor="background1"/>
                <w:sz w:val="24"/>
              </w:rPr>
              <w:t xml:space="preserve"> and activities that align with and advance your state’s vision for CTE?</w:t>
            </w:r>
          </w:p>
        </w:tc>
        <w:tc>
          <w:tcPr>
            <w:tcW w:w="11250" w:type="dxa"/>
          </w:tcPr>
          <w:p w14:paraId="20CB412F"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30905D93"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2D629E67"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3B63B2A1"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7AC8A2D3"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7E1B7EC5" w14:textId="77777777" w:rsidR="00CD1868" w:rsidRPr="00CD1868" w:rsidRDefault="00CD1868" w:rsidP="00AE7991">
            <w:pPr>
              <w:pStyle w:val="Style1"/>
              <w:numPr>
                <w:ilvl w:val="0"/>
                <w:numId w:val="31"/>
              </w:numPr>
              <w:spacing w:line="240" w:lineRule="auto"/>
              <w:rPr>
                <w:rFonts w:asciiTheme="minorHAnsi" w:hAnsiTheme="minorHAnsi" w:cstheme="minorHAnsi"/>
                <w:b/>
                <w:color w:val="009AA6"/>
                <w:sz w:val="24"/>
              </w:rPr>
            </w:pPr>
          </w:p>
        </w:tc>
      </w:tr>
      <w:tr w:rsidR="00CD1868" w14:paraId="31A5B1D7" w14:textId="77777777">
        <w:trPr>
          <w:trHeight w:val="3090"/>
        </w:trPr>
        <w:tc>
          <w:tcPr>
            <w:tcW w:w="3325" w:type="dxa"/>
            <w:shd w:val="clear" w:color="auto" w:fill="7AB800"/>
            <w:vAlign w:val="center"/>
          </w:tcPr>
          <w:p w14:paraId="1BC58D01" w14:textId="06A21C81" w:rsidR="00CD1868" w:rsidRPr="00CD1868" w:rsidRDefault="00CD1868" w:rsidP="00AE7991">
            <w:pPr>
              <w:spacing w:line="240" w:lineRule="auto"/>
              <w:rPr>
                <w:b/>
                <w:color w:val="FFFFFF" w:themeColor="background1"/>
                <w:sz w:val="24"/>
                <w:szCs w:val="21"/>
              </w:rPr>
            </w:pPr>
            <w:r w:rsidRPr="00CD1868">
              <w:rPr>
                <w:b/>
                <w:color w:val="FFFFFF" w:themeColor="background1"/>
                <w:sz w:val="24"/>
                <w:szCs w:val="21"/>
              </w:rPr>
              <w:t xml:space="preserve">How will you leverage Perkins to </w:t>
            </w:r>
            <w:r w:rsidRPr="00CD1868">
              <w:rPr>
                <w:b/>
                <w:i/>
                <w:color w:val="FFFFFF" w:themeColor="background1"/>
                <w:sz w:val="24"/>
                <w:szCs w:val="21"/>
                <w:u w:val="single"/>
              </w:rPr>
              <w:t>incentivize</w:t>
            </w:r>
            <w:r w:rsidRPr="00CD1868">
              <w:rPr>
                <w:b/>
                <w:color w:val="FFFFFF" w:themeColor="background1"/>
                <w:sz w:val="24"/>
                <w:szCs w:val="21"/>
              </w:rPr>
              <w:t xml:space="preserve"> </w:t>
            </w:r>
            <w:r w:rsidR="00F33ACA">
              <w:rPr>
                <w:b/>
                <w:color w:val="FFFFFF" w:themeColor="background1"/>
                <w:sz w:val="24"/>
              </w:rPr>
              <w:t>strategies</w:t>
            </w:r>
            <w:r w:rsidR="00F33ACA" w:rsidRPr="00CD1868">
              <w:rPr>
                <w:b/>
                <w:color w:val="FFFFFF" w:themeColor="background1"/>
                <w:sz w:val="24"/>
              </w:rPr>
              <w:t xml:space="preserve"> </w:t>
            </w:r>
            <w:r w:rsidRPr="00CD1868">
              <w:rPr>
                <w:b/>
                <w:color w:val="FFFFFF" w:themeColor="background1"/>
                <w:sz w:val="24"/>
                <w:szCs w:val="21"/>
              </w:rPr>
              <w:t xml:space="preserve">and activities that align with and advance </w:t>
            </w:r>
            <w:r w:rsidRPr="00CD1868">
              <w:rPr>
                <w:b/>
                <w:color w:val="FFFFFF" w:themeColor="background1"/>
                <w:sz w:val="24"/>
              </w:rPr>
              <w:t xml:space="preserve">your state’s </w:t>
            </w:r>
            <w:r w:rsidRPr="00CD1868">
              <w:rPr>
                <w:b/>
                <w:color w:val="FFFFFF" w:themeColor="background1"/>
                <w:sz w:val="24"/>
                <w:szCs w:val="21"/>
              </w:rPr>
              <w:t>vision for CTE?</w:t>
            </w:r>
          </w:p>
        </w:tc>
        <w:tc>
          <w:tcPr>
            <w:tcW w:w="11250" w:type="dxa"/>
          </w:tcPr>
          <w:p w14:paraId="04BF23A0"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p>
          <w:p w14:paraId="33C676CF"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5FC8BA30"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329BBF38"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1C03A3E2"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52B2D517"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p>
        </w:tc>
      </w:tr>
      <w:tr w:rsidR="00CD1868" w14:paraId="1C436835" w14:textId="77777777">
        <w:trPr>
          <w:trHeight w:val="2762"/>
        </w:trPr>
        <w:tc>
          <w:tcPr>
            <w:tcW w:w="3325" w:type="dxa"/>
            <w:shd w:val="clear" w:color="auto" w:fill="FF6D14"/>
            <w:vAlign w:val="center"/>
          </w:tcPr>
          <w:p w14:paraId="3CA460D1" w14:textId="00F7673A" w:rsidR="00CD1868" w:rsidRPr="00CD1868" w:rsidRDefault="00CD1868" w:rsidP="00AE7991">
            <w:pPr>
              <w:spacing w:line="240" w:lineRule="auto"/>
              <w:rPr>
                <w:b/>
                <w:color w:val="FFFFFF" w:themeColor="background1"/>
                <w:sz w:val="24"/>
                <w:szCs w:val="21"/>
              </w:rPr>
            </w:pPr>
            <w:r w:rsidRPr="00CD1868">
              <w:rPr>
                <w:b/>
                <w:color w:val="FFFFFF" w:themeColor="background1"/>
                <w:sz w:val="24"/>
                <w:szCs w:val="21"/>
              </w:rPr>
              <w:t xml:space="preserve">How will you leverage Perkins to </w:t>
            </w:r>
            <w:r w:rsidRPr="00CD1868">
              <w:rPr>
                <w:b/>
                <w:i/>
                <w:color w:val="FFFFFF" w:themeColor="background1"/>
                <w:sz w:val="24"/>
                <w:szCs w:val="21"/>
                <w:u w:val="single"/>
              </w:rPr>
              <w:t>support</w:t>
            </w:r>
            <w:r w:rsidRPr="00CD1868">
              <w:rPr>
                <w:b/>
                <w:color w:val="FFFFFF" w:themeColor="background1"/>
                <w:sz w:val="24"/>
                <w:szCs w:val="21"/>
              </w:rPr>
              <w:t xml:space="preserve"> </w:t>
            </w:r>
            <w:r w:rsidR="00F33ACA">
              <w:rPr>
                <w:b/>
                <w:color w:val="FFFFFF" w:themeColor="background1"/>
                <w:sz w:val="24"/>
              </w:rPr>
              <w:t>strategies</w:t>
            </w:r>
            <w:r w:rsidR="00F33ACA" w:rsidRPr="00CD1868">
              <w:rPr>
                <w:b/>
                <w:color w:val="FFFFFF" w:themeColor="background1"/>
                <w:sz w:val="24"/>
              </w:rPr>
              <w:t xml:space="preserve"> </w:t>
            </w:r>
            <w:r w:rsidRPr="00CD1868">
              <w:rPr>
                <w:b/>
                <w:color w:val="FFFFFF" w:themeColor="background1"/>
                <w:sz w:val="24"/>
                <w:szCs w:val="21"/>
              </w:rPr>
              <w:t xml:space="preserve">and activities that align with and advance </w:t>
            </w:r>
            <w:r w:rsidRPr="00CD1868">
              <w:rPr>
                <w:b/>
                <w:color w:val="FFFFFF" w:themeColor="background1"/>
                <w:sz w:val="24"/>
              </w:rPr>
              <w:t xml:space="preserve">your state’s </w:t>
            </w:r>
            <w:r w:rsidRPr="00CD1868">
              <w:rPr>
                <w:b/>
                <w:color w:val="FFFFFF" w:themeColor="background1"/>
                <w:sz w:val="24"/>
                <w:szCs w:val="21"/>
              </w:rPr>
              <w:t>vision for CTE?</w:t>
            </w:r>
          </w:p>
        </w:tc>
        <w:tc>
          <w:tcPr>
            <w:tcW w:w="11250" w:type="dxa"/>
          </w:tcPr>
          <w:p w14:paraId="0923185B"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p>
          <w:p w14:paraId="226A1A26"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5B79FB65"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71AE387E"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43BA1BB4"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r>
              <w:rPr>
                <w:rFonts w:asciiTheme="minorHAnsi" w:hAnsiTheme="minorHAnsi" w:cstheme="minorHAnsi"/>
                <w:b/>
                <w:color w:val="009AA6"/>
                <w:sz w:val="24"/>
              </w:rPr>
              <w:t xml:space="preserve"> </w:t>
            </w:r>
          </w:p>
          <w:p w14:paraId="55C5B1D0" w14:textId="77777777" w:rsidR="00CD1868" w:rsidRDefault="00CD1868" w:rsidP="00AE7991">
            <w:pPr>
              <w:pStyle w:val="Style1"/>
              <w:numPr>
                <w:ilvl w:val="0"/>
                <w:numId w:val="31"/>
              </w:numPr>
              <w:spacing w:line="240" w:lineRule="auto"/>
              <w:rPr>
                <w:rFonts w:asciiTheme="minorHAnsi" w:hAnsiTheme="minorHAnsi" w:cstheme="minorHAnsi"/>
                <w:b/>
                <w:color w:val="009AA6"/>
                <w:sz w:val="24"/>
              </w:rPr>
            </w:pPr>
          </w:p>
        </w:tc>
      </w:tr>
    </w:tbl>
    <w:p w14:paraId="61018574" w14:textId="77777777" w:rsidR="00C35DBE" w:rsidRPr="005E6AAD" w:rsidRDefault="00C35DBE" w:rsidP="00AE7991">
      <w:pPr>
        <w:spacing w:line="240" w:lineRule="auto"/>
      </w:pPr>
    </w:p>
    <w:sectPr w:rsidR="00C35DBE" w:rsidRPr="005E6AAD" w:rsidSect="00C35DBE">
      <w:headerReference w:type="default" r:id="rId8"/>
      <w:footerReference w:type="default" r:id="rId9"/>
      <w:endnotePr>
        <w:numFmt w:val="decimal"/>
      </w:endnotePr>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5463F5" w16cid:durableId="1F79BDDC"/>
  <w16cid:commentId w16cid:paraId="4B273EBC" w16cid:durableId="1F781598"/>
  <w16cid:commentId w16cid:paraId="09DAC81D" w16cid:durableId="1F79C3EC"/>
  <w16cid:commentId w16cid:paraId="7CD47B33" w16cid:durableId="1F79C498"/>
  <w16cid:commentId w16cid:paraId="4DEB3DA2" w16cid:durableId="1F79CDCD"/>
  <w16cid:commentId w16cid:paraId="043C5E5D" w16cid:durableId="1F79CE57"/>
  <w16cid:commentId w16cid:paraId="15BE5A9C" w16cid:durableId="1F79CED3"/>
  <w16cid:commentId w16cid:paraId="1655A16C" w16cid:durableId="1F79CF5C"/>
  <w16cid:commentId w16cid:paraId="22951253" w16cid:durableId="1F782E26"/>
  <w16cid:commentId w16cid:paraId="50B0A048" w16cid:durableId="1F782E5E"/>
  <w16cid:commentId w16cid:paraId="687C6ABD" w16cid:durableId="1F782EB2"/>
  <w16cid:commentId w16cid:paraId="5C9DD327" w16cid:durableId="1F782F2D"/>
  <w16cid:commentId w16cid:paraId="55C6657E" w16cid:durableId="1F782F7C"/>
  <w16cid:commentId w16cid:paraId="5A1434FC" w16cid:durableId="1F7AB920"/>
  <w16cid:commentId w16cid:paraId="5766E37E" w16cid:durableId="1F79D1CA"/>
  <w16cid:commentId w16cid:paraId="7DC89D8E" w16cid:durableId="1F7AB99F"/>
  <w16cid:commentId w16cid:paraId="08F88B9D" w16cid:durableId="1F78330C"/>
  <w16cid:commentId w16cid:paraId="4E120E5F" w16cid:durableId="1F78334A"/>
  <w16cid:commentId w16cid:paraId="14E21DEB" w16cid:durableId="1F787391"/>
  <w16cid:commentId w16cid:paraId="5A07BEF8" w16cid:durableId="1F7874BC"/>
  <w16cid:commentId w16cid:paraId="3BC4F0C6" w16cid:durableId="1F79D390"/>
  <w16cid:commentId w16cid:paraId="22631490" w16cid:durableId="1F79D3CD"/>
  <w16cid:commentId w16cid:paraId="0E35D7C4" w16cid:durableId="1F79D3B8"/>
  <w16cid:commentId w16cid:paraId="271A1E1F" w16cid:durableId="1F7875CE"/>
  <w16cid:commentId w16cid:paraId="06DDF0ED" w16cid:durableId="1F79D4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225F9" w14:textId="77777777" w:rsidR="009564DF" w:rsidRDefault="009564DF" w:rsidP="005E6AAD">
      <w:pPr>
        <w:spacing w:after="0" w:line="240" w:lineRule="auto"/>
      </w:pPr>
      <w:r>
        <w:separator/>
      </w:r>
    </w:p>
  </w:endnote>
  <w:endnote w:type="continuationSeparator" w:id="0">
    <w:p w14:paraId="5DBBADB8" w14:textId="77777777" w:rsidR="009564DF" w:rsidRDefault="009564DF" w:rsidP="005E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26E7" w14:textId="7C025625" w:rsidR="00F33ACA" w:rsidRPr="00E64B0B" w:rsidRDefault="00F33ACA" w:rsidP="00C35DBE">
    <w:pPr>
      <w:pStyle w:val="Footer"/>
      <w:jc w:val="right"/>
      <w:rPr>
        <w:rFonts w:cstheme="minorHAnsi"/>
        <w:sz w:val="20"/>
      </w:rPr>
    </w:pPr>
    <w:r>
      <w:rPr>
        <w:rFonts w:eastAsia="MS Mincho" w:cstheme="minorHAnsi"/>
        <w:noProof/>
        <w:sz w:val="20"/>
      </w:rPr>
      <mc:AlternateContent>
        <mc:Choice Requires="wps">
          <w:drawing>
            <wp:anchor distT="45720" distB="45720" distL="114300" distR="114300" simplePos="0" relativeHeight="251665408" behindDoc="0" locked="0" layoutInCell="1" allowOverlap="1" wp14:anchorId="0F321763" wp14:editId="7D8E9A05">
              <wp:simplePos x="0" y="0"/>
              <wp:positionH relativeFrom="margin">
                <wp:align>left</wp:align>
              </wp:positionH>
              <wp:positionV relativeFrom="paragraph">
                <wp:posOffset>10795</wp:posOffset>
              </wp:positionV>
              <wp:extent cx="775970" cy="23368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33680"/>
                      </a:xfrm>
                      <a:prstGeom prst="rect">
                        <a:avLst/>
                      </a:prstGeom>
                      <a:solidFill>
                        <a:srgbClr val="FFFFFF"/>
                      </a:solidFill>
                      <a:ln w="9525">
                        <a:noFill/>
                        <a:miter lim="800000"/>
                        <a:headEnd/>
                        <a:tailEnd/>
                      </a:ln>
                    </wps:spPr>
                    <wps:txbx>
                      <w:txbxContent>
                        <w:sdt>
                          <w:sdtPr>
                            <w:rPr>
                              <w:sz w:val="20"/>
                            </w:rPr>
                            <w:id w:val="-577836030"/>
                            <w:docPartObj>
                              <w:docPartGallery w:val="Page Numbers (Bottom of Page)"/>
                              <w:docPartUnique/>
                            </w:docPartObj>
                          </w:sdtPr>
                          <w:sdtEndPr>
                            <w:rPr>
                              <w:noProof/>
                            </w:rPr>
                          </w:sdtEndPr>
                          <w:sdtContent>
                            <w:p w14:paraId="26DD5F5E" w14:textId="23519E6A" w:rsidR="00F33ACA" w:rsidRPr="00BF0816" w:rsidRDefault="00F33ACA" w:rsidP="00BF0816">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4152E4">
                                <w:rPr>
                                  <w:noProof/>
                                  <w:sz w:val="20"/>
                                </w:rPr>
                                <w:t>1</w:t>
                              </w:r>
                              <w:r>
                                <w:rPr>
                                  <w:noProof/>
                                  <w:sz w:val="20"/>
                                </w:rPr>
                                <w:fldChar w:fldCharType="end"/>
                              </w:r>
                            </w:p>
                          </w:sdtContent>
                        </w:sdt>
                        <w:p w14:paraId="15A06CEC" w14:textId="77777777" w:rsidR="00F33ACA" w:rsidRPr="00BF0816" w:rsidRDefault="00F33AC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21763" id="_x0000_t202" coordsize="21600,21600" o:spt="202" path="m,l,21600r21600,l21600,xe">
              <v:stroke joinstyle="miter"/>
              <v:path gradientshapeok="t" o:connecttype="rect"/>
            </v:shapetype>
            <v:shape id="Text Box 2" o:spid="_x0000_s1027" type="#_x0000_t202" style="position:absolute;left:0;text-align:left;margin-left:0;margin-top:.85pt;width:61.1pt;height:18.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DS3ReBIwIAACMEAAAOAAAAAAAAAAAAAAAAAC4CAABkcnMvZTJvRG9jLnhtbFBL&#10;AQItABQABgAIAAAAIQBGiVj32gAAAAUBAAAPAAAAAAAAAAAAAAAAAH0EAABkcnMvZG93bnJldi54&#10;bWxQSwUGAAAAAAQABADzAAAAhAUAAAAA&#10;" stroked="f">
              <v:textbox>
                <w:txbxContent>
                  <w:sdt>
                    <w:sdtPr>
                      <w:rPr>
                        <w:sz w:val="20"/>
                      </w:rPr>
                      <w:id w:val="-577836030"/>
                      <w:docPartObj>
                        <w:docPartGallery w:val="Page Numbers (Bottom of Page)"/>
                        <w:docPartUnique/>
                      </w:docPartObj>
                    </w:sdtPr>
                    <w:sdtEndPr>
                      <w:rPr>
                        <w:noProof/>
                      </w:rPr>
                    </w:sdtEndPr>
                    <w:sdtContent>
                      <w:p w14:paraId="26DD5F5E" w14:textId="23519E6A" w:rsidR="00F33ACA" w:rsidRPr="00BF0816" w:rsidRDefault="00F33ACA" w:rsidP="00BF0816">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4152E4">
                          <w:rPr>
                            <w:noProof/>
                            <w:sz w:val="20"/>
                          </w:rPr>
                          <w:t>1</w:t>
                        </w:r>
                        <w:r>
                          <w:rPr>
                            <w:noProof/>
                            <w:sz w:val="20"/>
                          </w:rPr>
                          <w:fldChar w:fldCharType="end"/>
                        </w:r>
                      </w:p>
                    </w:sdtContent>
                  </w:sdt>
                  <w:p w14:paraId="15A06CEC" w14:textId="77777777" w:rsidR="00F33ACA" w:rsidRPr="00BF0816" w:rsidRDefault="00F33ACA">
                    <w:pPr>
                      <w:rPr>
                        <w:sz w:val="20"/>
                      </w:rPr>
                    </w:pPr>
                  </w:p>
                </w:txbxContent>
              </v:textbox>
              <w10:wrap anchorx="margin"/>
            </v:shape>
          </w:pict>
        </mc:Fallback>
      </mc:AlternateContent>
    </w:r>
    <w:r w:rsidRPr="00E64B0B">
      <w:rPr>
        <w:rFonts w:ascii="Cambria" w:eastAsia="MS Mincho" w:hAnsi="Cambria" w:cs="Times New Roman"/>
        <w:noProof/>
        <w:szCs w:val="24"/>
      </w:rPr>
      <w:drawing>
        <wp:anchor distT="0" distB="0" distL="114300" distR="114300" simplePos="0" relativeHeight="251663360" behindDoc="1" locked="0" layoutInCell="1" allowOverlap="1" wp14:anchorId="0FB7F83A" wp14:editId="1FBA7295">
          <wp:simplePos x="0" y="0"/>
          <wp:positionH relativeFrom="page">
            <wp:posOffset>19050</wp:posOffset>
          </wp:positionH>
          <wp:positionV relativeFrom="paragraph">
            <wp:posOffset>265430</wp:posOffset>
          </wp:positionV>
          <wp:extent cx="10015080" cy="178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anchor>
      </w:drawing>
    </w:r>
    <w:r w:rsidRPr="00E64B0B">
      <w:rPr>
        <w:rFonts w:eastAsia="MS Mincho" w:cstheme="minorHAnsi"/>
        <w:noProof/>
        <w:sz w:val="20"/>
      </w:rPr>
      <w:t>©</w:t>
    </w:r>
    <w:r>
      <w:rPr>
        <w:rFonts w:eastAsia="MS Mincho" w:cstheme="minorHAnsi"/>
        <w:noProof/>
        <w:sz w:val="20"/>
      </w:rPr>
      <w:t xml:space="preserve"> Advance CTE – Updated October 24</w:t>
    </w:r>
    <w:r w:rsidRPr="00E64B0B">
      <w:rPr>
        <w:rFonts w:eastAsia="MS Mincho" w:cstheme="minorHAnsi"/>
        <w:noProof/>
        <w:sz w:val="20"/>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142A" w14:textId="77777777" w:rsidR="009564DF" w:rsidRDefault="009564DF" w:rsidP="005E6AAD">
      <w:pPr>
        <w:spacing w:after="0" w:line="240" w:lineRule="auto"/>
      </w:pPr>
      <w:r>
        <w:separator/>
      </w:r>
    </w:p>
  </w:footnote>
  <w:footnote w:type="continuationSeparator" w:id="0">
    <w:p w14:paraId="221DB8B1" w14:textId="77777777" w:rsidR="009564DF" w:rsidRDefault="009564DF" w:rsidP="005E6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FF7F" w14:textId="38A1D7ED" w:rsidR="00F33ACA" w:rsidRDefault="00F33ACA">
    <w:pPr>
      <w:pStyle w:val="Header"/>
    </w:pPr>
    <w:r>
      <w:rPr>
        <w:noProof/>
      </w:rPr>
      <mc:AlternateContent>
        <mc:Choice Requires="wps">
          <w:drawing>
            <wp:anchor distT="0" distB="0" distL="114300" distR="114300" simplePos="0" relativeHeight="251662336" behindDoc="0" locked="0" layoutInCell="1" allowOverlap="1" wp14:anchorId="45D6DA50" wp14:editId="6685DDFB">
              <wp:simplePos x="0" y="0"/>
              <wp:positionH relativeFrom="margin">
                <wp:posOffset>2486025</wp:posOffset>
              </wp:positionH>
              <wp:positionV relativeFrom="paragraph">
                <wp:posOffset>-304800</wp:posOffset>
              </wp:positionV>
              <wp:extent cx="417195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0" cy="600075"/>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A89BB" w14:textId="1AAEEE87" w:rsidR="00F33ACA" w:rsidRPr="003B17C4" w:rsidRDefault="00F33ACA" w:rsidP="00C35DBE">
                          <w:pPr>
                            <w:jc w:val="center"/>
                            <w:rPr>
                              <w:rFonts w:cstheme="minorHAnsi"/>
                              <w:b/>
                              <w:color w:val="FFFFFF" w:themeColor="background1"/>
                              <w:sz w:val="32"/>
                            </w:rPr>
                          </w:pPr>
                          <w:r>
                            <w:rPr>
                              <w:rFonts w:cstheme="minorHAnsi"/>
                              <w:b/>
                              <w:color w:val="FFFFFF" w:themeColor="background1"/>
                              <w:sz w:val="32"/>
                            </w:rPr>
                            <w:t>Putting Your CTE Vision Into Action Through Perkins V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6DA50" id="_x0000_t202" coordsize="21600,21600" o:spt="202" path="m,l,21600r21600,l21600,xe">
              <v:stroke joinstyle="miter"/>
              <v:path gradientshapeok="t" o:connecttype="rect"/>
            </v:shapetype>
            <v:shape id="Text Box 5" o:spid="_x0000_s1026" type="#_x0000_t202" style="position:absolute;margin-left:195.75pt;margin-top:-24pt;width:328.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" fillcolor="#009aa6" stroked="f" strokeweight=".5pt">
              <v:path arrowok="t"/>
              <v:textbox>
                <w:txbxContent>
                  <w:p w14:paraId="4ECA89BB" w14:textId="1AAEEE87" w:rsidR="00F33ACA" w:rsidRPr="003B17C4" w:rsidRDefault="00F33ACA" w:rsidP="00C35DBE">
                    <w:pPr>
                      <w:jc w:val="center"/>
                      <w:rPr>
                        <w:rFonts w:cstheme="minorHAnsi"/>
                        <w:b/>
                        <w:color w:val="FFFFFF" w:themeColor="background1"/>
                        <w:sz w:val="32"/>
                      </w:rPr>
                    </w:pPr>
                    <w:r>
                      <w:rPr>
                        <w:rFonts w:cstheme="minorHAnsi"/>
                        <w:b/>
                        <w:color w:val="FFFFFF" w:themeColor="background1"/>
                        <w:sz w:val="32"/>
                      </w:rPr>
                      <w:t>Putting Your CTE Vision Into Action Through Perkins V Planning</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E81FA10" wp14:editId="1D26A449">
              <wp:simplePos x="0" y="0"/>
              <wp:positionH relativeFrom="page">
                <wp:posOffset>-19050</wp:posOffset>
              </wp:positionH>
              <wp:positionV relativeFrom="paragraph">
                <wp:posOffset>-447675</wp:posOffset>
              </wp:positionV>
              <wp:extent cx="10058400" cy="800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8001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BB7582" id="Rectangle 2" o:spid="_x0000_s1026" style="position:absolute;margin-left:-1.5pt;margin-top:-35.25pt;width:11in;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" fillcolor="#009aa6" strokecolor="#009aa6" strokeweight="1pt">
              <v:path arrowok="t"/>
              <w10:wrap anchorx="page"/>
            </v:rect>
          </w:pict>
        </mc:Fallback>
      </mc:AlternateContent>
    </w:r>
    <w:r>
      <w:rPr>
        <w:noProof/>
      </w:rPr>
      <w:drawing>
        <wp:anchor distT="0" distB="0" distL="114300" distR="114300" simplePos="0" relativeHeight="251661312" behindDoc="0" locked="0" layoutInCell="1" allowOverlap="1" wp14:anchorId="3B633132" wp14:editId="67632EE4">
          <wp:simplePos x="0" y="0"/>
          <wp:positionH relativeFrom="page">
            <wp:posOffset>247650</wp:posOffset>
          </wp:positionH>
          <wp:positionV relativeFrom="paragraph">
            <wp:posOffset>-366395</wp:posOffset>
          </wp:positionV>
          <wp:extent cx="2017277" cy="63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2017277" cy="632871"/>
                  </a:xfrm>
                  <a:prstGeom prst="rect">
                    <a:avLst/>
                  </a:prstGeom>
                </pic:spPr>
              </pic:pic>
            </a:graphicData>
          </a:graphic>
        </wp:anchor>
      </w:drawing>
    </w:r>
  </w:p>
  <w:p w14:paraId="39387FF5" w14:textId="77777777" w:rsidR="00F33ACA" w:rsidRDefault="00F33ACA">
    <w:pPr>
      <w:pStyle w:val="Header"/>
    </w:pPr>
  </w:p>
  <w:p w14:paraId="4791A528" w14:textId="77777777" w:rsidR="00F33ACA" w:rsidRDefault="00F33ACA">
    <w:pPr>
      <w:pStyle w:val="Header"/>
    </w:pPr>
    <w:r>
      <w:rPr>
        <w:noProof/>
      </w:rPr>
      <w:drawing>
        <wp:anchor distT="0" distB="0" distL="114300" distR="114300" simplePos="0" relativeHeight="251659264" behindDoc="0" locked="0" layoutInCell="1" allowOverlap="1" wp14:anchorId="630AD7F6" wp14:editId="320BF13A">
          <wp:simplePos x="0" y="0"/>
          <wp:positionH relativeFrom="column">
            <wp:posOffset>-552450</wp:posOffset>
          </wp:positionH>
          <wp:positionV relativeFrom="paragraph">
            <wp:posOffset>1135380</wp:posOffset>
          </wp:positionV>
          <wp:extent cx="1883927" cy="591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7C"/>
    <w:multiLevelType w:val="hybridMultilevel"/>
    <w:tmpl w:val="54D4E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72134"/>
    <w:multiLevelType w:val="hybridMultilevel"/>
    <w:tmpl w:val="F64C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19A3"/>
    <w:multiLevelType w:val="hybridMultilevel"/>
    <w:tmpl w:val="8850CF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E6E98"/>
    <w:multiLevelType w:val="hybridMultilevel"/>
    <w:tmpl w:val="F31616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579045B"/>
    <w:multiLevelType w:val="hybridMultilevel"/>
    <w:tmpl w:val="955420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2631D7"/>
    <w:multiLevelType w:val="multilevel"/>
    <w:tmpl w:val="890E79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start w:val="1"/>
      <w:numFmt w:val="bullet"/>
      <w:lvlText w:val=""/>
      <w:lvlJc w:val="left"/>
      <w:pPr>
        <w:tabs>
          <w:tab w:val="num" w:pos="1530"/>
        </w:tabs>
        <w:ind w:left="153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776130D"/>
    <w:multiLevelType w:val="hybridMultilevel"/>
    <w:tmpl w:val="B096E436"/>
    <w:lvl w:ilvl="0" w:tplc="04090001">
      <w:start w:val="1"/>
      <w:numFmt w:val="bullet"/>
      <w:lvlText w:val=""/>
      <w:lvlJc w:val="left"/>
      <w:pPr>
        <w:ind w:left="360" w:hanging="360"/>
      </w:pPr>
      <w:rPr>
        <w:rFonts w:ascii="Symbol" w:hAnsi="Symbol" w:hint="default"/>
      </w:rPr>
    </w:lvl>
    <w:lvl w:ilvl="1" w:tplc="48D2224A">
      <w:numFmt w:val="bullet"/>
      <w:lvlText w:val="•"/>
      <w:lvlJc w:val="left"/>
      <w:pPr>
        <w:ind w:left="72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367BDA"/>
    <w:multiLevelType w:val="hybridMultilevel"/>
    <w:tmpl w:val="3392BF24"/>
    <w:lvl w:ilvl="0" w:tplc="3BF81B6C">
      <w:start w:val="1"/>
      <w:numFmt w:val="bullet"/>
      <w:lvlText w:val=""/>
      <w:lvlJc w:val="left"/>
      <w:pPr>
        <w:ind w:left="1125" w:hanging="360"/>
      </w:pPr>
      <w:rPr>
        <w:rFonts w:ascii="Symbol" w:hAnsi="Symbol" w:hint="default"/>
        <w:color w:val="009AA6"/>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2F725206"/>
    <w:multiLevelType w:val="hybridMultilevel"/>
    <w:tmpl w:val="E592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75FDB"/>
    <w:multiLevelType w:val="hybridMultilevel"/>
    <w:tmpl w:val="3DCA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083663"/>
    <w:multiLevelType w:val="hybridMultilevel"/>
    <w:tmpl w:val="B90CA528"/>
    <w:lvl w:ilvl="0" w:tplc="85D0FF4C">
      <w:start w:val="1"/>
      <w:numFmt w:val="bullet"/>
      <w:lvlText w:val=""/>
      <w:lvlJc w:val="left"/>
      <w:pPr>
        <w:ind w:left="720" w:hanging="360"/>
      </w:pPr>
      <w:rPr>
        <w:rFonts w:ascii="Symbol" w:hAnsi="Symbol" w:hint="default"/>
        <w:color w:val="7AB800"/>
      </w:rPr>
    </w:lvl>
    <w:lvl w:ilvl="1" w:tplc="A126DBBA">
      <w:start w:val="1"/>
      <w:numFmt w:val="bullet"/>
      <w:lvlText w:val=""/>
      <w:lvlJc w:val="left"/>
      <w:pPr>
        <w:ind w:left="1440" w:hanging="360"/>
      </w:pPr>
      <w:rPr>
        <w:rFonts w:ascii="Symbol" w:hAnsi="Symbol" w:hint="default"/>
        <w:color w:val="7AB8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A2EAF"/>
    <w:multiLevelType w:val="hybridMultilevel"/>
    <w:tmpl w:val="5AC6FA94"/>
    <w:lvl w:ilvl="0" w:tplc="B5226C4E">
      <w:start w:val="1"/>
      <w:numFmt w:val="bullet"/>
      <w:lvlText w:val=""/>
      <w:lvlJc w:val="left"/>
      <w:pPr>
        <w:ind w:left="1080" w:hanging="360"/>
      </w:pPr>
      <w:rPr>
        <w:rFonts w:ascii="Symbol" w:hAnsi="Symbol" w:hint="default"/>
        <w:color w:val="009AA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402445"/>
    <w:multiLevelType w:val="hybridMultilevel"/>
    <w:tmpl w:val="6B3430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F3F11DA"/>
    <w:multiLevelType w:val="hybridMultilevel"/>
    <w:tmpl w:val="049629AC"/>
    <w:lvl w:ilvl="0" w:tplc="34921F8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808193C"/>
    <w:multiLevelType w:val="hybridMultilevel"/>
    <w:tmpl w:val="46C6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17BD9"/>
    <w:multiLevelType w:val="hybridMultilevel"/>
    <w:tmpl w:val="2EB0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986943"/>
    <w:multiLevelType w:val="hybridMultilevel"/>
    <w:tmpl w:val="D768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BC373E"/>
    <w:multiLevelType w:val="hybridMultilevel"/>
    <w:tmpl w:val="EA9E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D21468"/>
    <w:multiLevelType w:val="hybridMultilevel"/>
    <w:tmpl w:val="64E6209E"/>
    <w:lvl w:ilvl="0" w:tplc="0409000F">
      <w:start w:val="1"/>
      <w:numFmt w:val="decimal"/>
      <w:lvlText w:val="%1."/>
      <w:lvlJc w:val="left"/>
      <w:pPr>
        <w:tabs>
          <w:tab w:val="num" w:pos="360"/>
        </w:tabs>
        <w:ind w:left="360" w:hanging="360"/>
      </w:pPr>
      <w:rPr>
        <w:rFonts w:hint="default"/>
      </w:rPr>
    </w:lvl>
    <w:lvl w:ilvl="1" w:tplc="EBCA5D66" w:tentative="1">
      <w:start w:val="1"/>
      <w:numFmt w:val="bullet"/>
      <w:lvlText w:val="•"/>
      <w:lvlJc w:val="left"/>
      <w:pPr>
        <w:tabs>
          <w:tab w:val="num" w:pos="1080"/>
        </w:tabs>
        <w:ind w:left="1080" w:hanging="360"/>
      </w:pPr>
      <w:rPr>
        <w:rFonts w:ascii="Arial" w:hAnsi="Arial" w:hint="default"/>
      </w:rPr>
    </w:lvl>
    <w:lvl w:ilvl="2" w:tplc="A476C838" w:tentative="1">
      <w:start w:val="1"/>
      <w:numFmt w:val="bullet"/>
      <w:lvlText w:val="•"/>
      <w:lvlJc w:val="left"/>
      <w:pPr>
        <w:tabs>
          <w:tab w:val="num" w:pos="1800"/>
        </w:tabs>
        <w:ind w:left="1800" w:hanging="360"/>
      </w:pPr>
      <w:rPr>
        <w:rFonts w:ascii="Arial" w:hAnsi="Arial" w:hint="default"/>
      </w:rPr>
    </w:lvl>
    <w:lvl w:ilvl="3" w:tplc="C480FD86" w:tentative="1">
      <w:start w:val="1"/>
      <w:numFmt w:val="bullet"/>
      <w:lvlText w:val="•"/>
      <w:lvlJc w:val="left"/>
      <w:pPr>
        <w:tabs>
          <w:tab w:val="num" w:pos="2520"/>
        </w:tabs>
        <w:ind w:left="2520" w:hanging="360"/>
      </w:pPr>
      <w:rPr>
        <w:rFonts w:ascii="Arial" w:hAnsi="Arial" w:hint="default"/>
      </w:rPr>
    </w:lvl>
    <w:lvl w:ilvl="4" w:tplc="C9405624" w:tentative="1">
      <w:start w:val="1"/>
      <w:numFmt w:val="bullet"/>
      <w:lvlText w:val="•"/>
      <w:lvlJc w:val="left"/>
      <w:pPr>
        <w:tabs>
          <w:tab w:val="num" w:pos="3240"/>
        </w:tabs>
        <w:ind w:left="3240" w:hanging="360"/>
      </w:pPr>
      <w:rPr>
        <w:rFonts w:ascii="Arial" w:hAnsi="Arial" w:hint="default"/>
      </w:rPr>
    </w:lvl>
    <w:lvl w:ilvl="5" w:tplc="1EB0B45C" w:tentative="1">
      <w:start w:val="1"/>
      <w:numFmt w:val="bullet"/>
      <w:lvlText w:val="•"/>
      <w:lvlJc w:val="left"/>
      <w:pPr>
        <w:tabs>
          <w:tab w:val="num" w:pos="3960"/>
        </w:tabs>
        <w:ind w:left="3960" w:hanging="360"/>
      </w:pPr>
      <w:rPr>
        <w:rFonts w:ascii="Arial" w:hAnsi="Arial" w:hint="default"/>
      </w:rPr>
    </w:lvl>
    <w:lvl w:ilvl="6" w:tplc="C686808C" w:tentative="1">
      <w:start w:val="1"/>
      <w:numFmt w:val="bullet"/>
      <w:lvlText w:val="•"/>
      <w:lvlJc w:val="left"/>
      <w:pPr>
        <w:tabs>
          <w:tab w:val="num" w:pos="4680"/>
        </w:tabs>
        <w:ind w:left="4680" w:hanging="360"/>
      </w:pPr>
      <w:rPr>
        <w:rFonts w:ascii="Arial" w:hAnsi="Arial" w:hint="default"/>
      </w:rPr>
    </w:lvl>
    <w:lvl w:ilvl="7" w:tplc="02560FE4" w:tentative="1">
      <w:start w:val="1"/>
      <w:numFmt w:val="bullet"/>
      <w:lvlText w:val="•"/>
      <w:lvlJc w:val="left"/>
      <w:pPr>
        <w:tabs>
          <w:tab w:val="num" w:pos="5400"/>
        </w:tabs>
        <w:ind w:left="5400" w:hanging="360"/>
      </w:pPr>
      <w:rPr>
        <w:rFonts w:ascii="Arial" w:hAnsi="Arial" w:hint="default"/>
      </w:rPr>
    </w:lvl>
    <w:lvl w:ilvl="8" w:tplc="19A2AB5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BA48ED"/>
    <w:multiLevelType w:val="hybridMultilevel"/>
    <w:tmpl w:val="ED601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6217C"/>
    <w:multiLevelType w:val="hybridMultilevel"/>
    <w:tmpl w:val="2FD08D48"/>
    <w:lvl w:ilvl="0" w:tplc="AB2C484C">
      <w:start w:val="1"/>
      <w:numFmt w:val="bullet"/>
      <w:lvlText w:val=""/>
      <w:lvlJc w:val="left"/>
      <w:pPr>
        <w:ind w:left="720" w:hanging="360"/>
      </w:pPr>
      <w:rPr>
        <w:rFonts w:ascii="Symbol" w:hAnsi="Symbol" w:hint="default"/>
        <w:color w:val="7AB80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F2302"/>
    <w:multiLevelType w:val="hybridMultilevel"/>
    <w:tmpl w:val="56FA2A7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5DAE2162"/>
    <w:multiLevelType w:val="hybridMultilevel"/>
    <w:tmpl w:val="A4062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EF61F6"/>
    <w:multiLevelType w:val="hybridMultilevel"/>
    <w:tmpl w:val="CA56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F7AB9"/>
    <w:multiLevelType w:val="hybridMultilevel"/>
    <w:tmpl w:val="2FD0BA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315B5"/>
    <w:multiLevelType w:val="hybridMultilevel"/>
    <w:tmpl w:val="4EEE65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7340E99"/>
    <w:multiLevelType w:val="hybridMultilevel"/>
    <w:tmpl w:val="733E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6C16FA"/>
    <w:multiLevelType w:val="hybridMultilevel"/>
    <w:tmpl w:val="0B4EF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A67F2"/>
    <w:multiLevelType w:val="hybridMultilevel"/>
    <w:tmpl w:val="64E6209E"/>
    <w:lvl w:ilvl="0" w:tplc="0409000F">
      <w:start w:val="1"/>
      <w:numFmt w:val="decimal"/>
      <w:lvlText w:val="%1."/>
      <w:lvlJc w:val="left"/>
      <w:pPr>
        <w:tabs>
          <w:tab w:val="num" w:pos="720"/>
        </w:tabs>
        <w:ind w:left="720" w:hanging="360"/>
      </w:pPr>
      <w:rPr>
        <w:rFonts w:hint="default"/>
      </w:rPr>
    </w:lvl>
    <w:lvl w:ilvl="1" w:tplc="EBCA5D66" w:tentative="1">
      <w:start w:val="1"/>
      <w:numFmt w:val="bullet"/>
      <w:lvlText w:val="•"/>
      <w:lvlJc w:val="left"/>
      <w:pPr>
        <w:tabs>
          <w:tab w:val="num" w:pos="1440"/>
        </w:tabs>
        <w:ind w:left="1440" w:hanging="360"/>
      </w:pPr>
      <w:rPr>
        <w:rFonts w:ascii="Arial" w:hAnsi="Arial" w:hint="default"/>
      </w:rPr>
    </w:lvl>
    <w:lvl w:ilvl="2" w:tplc="A476C838" w:tentative="1">
      <w:start w:val="1"/>
      <w:numFmt w:val="bullet"/>
      <w:lvlText w:val="•"/>
      <w:lvlJc w:val="left"/>
      <w:pPr>
        <w:tabs>
          <w:tab w:val="num" w:pos="2160"/>
        </w:tabs>
        <w:ind w:left="2160" w:hanging="360"/>
      </w:pPr>
      <w:rPr>
        <w:rFonts w:ascii="Arial" w:hAnsi="Arial" w:hint="default"/>
      </w:rPr>
    </w:lvl>
    <w:lvl w:ilvl="3" w:tplc="C480FD86" w:tentative="1">
      <w:start w:val="1"/>
      <w:numFmt w:val="bullet"/>
      <w:lvlText w:val="•"/>
      <w:lvlJc w:val="left"/>
      <w:pPr>
        <w:tabs>
          <w:tab w:val="num" w:pos="2880"/>
        </w:tabs>
        <w:ind w:left="2880" w:hanging="360"/>
      </w:pPr>
      <w:rPr>
        <w:rFonts w:ascii="Arial" w:hAnsi="Arial" w:hint="default"/>
      </w:rPr>
    </w:lvl>
    <w:lvl w:ilvl="4" w:tplc="C9405624" w:tentative="1">
      <w:start w:val="1"/>
      <w:numFmt w:val="bullet"/>
      <w:lvlText w:val="•"/>
      <w:lvlJc w:val="left"/>
      <w:pPr>
        <w:tabs>
          <w:tab w:val="num" w:pos="3600"/>
        </w:tabs>
        <w:ind w:left="3600" w:hanging="360"/>
      </w:pPr>
      <w:rPr>
        <w:rFonts w:ascii="Arial" w:hAnsi="Arial" w:hint="default"/>
      </w:rPr>
    </w:lvl>
    <w:lvl w:ilvl="5" w:tplc="1EB0B45C" w:tentative="1">
      <w:start w:val="1"/>
      <w:numFmt w:val="bullet"/>
      <w:lvlText w:val="•"/>
      <w:lvlJc w:val="left"/>
      <w:pPr>
        <w:tabs>
          <w:tab w:val="num" w:pos="4320"/>
        </w:tabs>
        <w:ind w:left="4320" w:hanging="360"/>
      </w:pPr>
      <w:rPr>
        <w:rFonts w:ascii="Arial" w:hAnsi="Arial" w:hint="default"/>
      </w:rPr>
    </w:lvl>
    <w:lvl w:ilvl="6" w:tplc="C686808C" w:tentative="1">
      <w:start w:val="1"/>
      <w:numFmt w:val="bullet"/>
      <w:lvlText w:val="•"/>
      <w:lvlJc w:val="left"/>
      <w:pPr>
        <w:tabs>
          <w:tab w:val="num" w:pos="5040"/>
        </w:tabs>
        <w:ind w:left="5040" w:hanging="360"/>
      </w:pPr>
      <w:rPr>
        <w:rFonts w:ascii="Arial" w:hAnsi="Arial" w:hint="default"/>
      </w:rPr>
    </w:lvl>
    <w:lvl w:ilvl="7" w:tplc="02560FE4" w:tentative="1">
      <w:start w:val="1"/>
      <w:numFmt w:val="bullet"/>
      <w:lvlText w:val="•"/>
      <w:lvlJc w:val="left"/>
      <w:pPr>
        <w:tabs>
          <w:tab w:val="num" w:pos="5760"/>
        </w:tabs>
        <w:ind w:left="5760" w:hanging="360"/>
      </w:pPr>
      <w:rPr>
        <w:rFonts w:ascii="Arial" w:hAnsi="Arial" w:hint="default"/>
      </w:rPr>
    </w:lvl>
    <w:lvl w:ilvl="8" w:tplc="19A2AB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6C6524"/>
    <w:multiLevelType w:val="hybridMultilevel"/>
    <w:tmpl w:val="48A8A9D8"/>
    <w:lvl w:ilvl="0" w:tplc="3A5EA2B8">
      <w:start w:val="1"/>
      <w:numFmt w:val="bullet"/>
      <w:lvlText w:val=""/>
      <w:lvlJc w:val="left"/>
      <w:pPr>
        <w:ind w:left="720" w:hanging="360"/>
      </w:pPr>
      <w:rPr>
        <w:rFonts w:ascii="Symbol" w:hAnsi="Symbol" w:hint="default"/>
        <w:color w:val="FF6D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D56D7"/>
    <w:multiLevelType w:val="hybridMultilevel"/>
    <w:tmpl w:val="BB00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C25634"/>
    <w:multiLevelType w:val="hybridMultilevel"/>
    <w:tmpl w:val="80D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24F26"/>
    <w:multiLevelType w:val="hybridMultilevel"/>
    <w:tmpl w:val="56D46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F47E8F"/>
    <w:multiLevelType w:val="hybridMultilevel"/>
    <w:tmpl w:val="87B6BA44"/>
    <w:lvl w:ilvl="0" w:tplc="6BEA55AC">
      <w:start w:val="1"/>
      <w:numFmt w:val="bullet"/>
      <w:lvlText w:val=""/>
      <w:lvlJc w:val="left"/>
      <w:pPr>
        <w:ind w:left="630" w:hanging="360"/>
      </w:pPr>
      <w:rPr>
        <w:rFonts w:ascii="Symbol" w:hAnsi="Symbol" w:hint="default"/>
        <w:color w:val="FF6D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E0014C3"/>
    <w:multiLevelType w:val="hybridMultilevel"/>
    <w:tmpl w:val="642C6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6"/>
  </w:num>
  <w:num w:numId="3">
    <w:abstractNumId w:val="17"/>
  </w:num>
  <w:num w:numId="4">
    <w:abstractNumId w:val="8"/>
  </w:num>
  <w:num w:numId="5">
    <w:abstractNumId w:val="0"/>
  </w:num>
  <w:num w:numId="6">
    <w:abstractNumId w:val="15"/>
  </w:num>
  <w:num w:numId="7">
    <w:abstractNumId w:val="12"/>
  </w:num>
  <w:num w:numId="8">
    <w:abstractNumId w:val="19"/>
  </w:num>
  <w:num w:numId="9">
    <w:abstractNumId w:val="26"/>
  </w:num>
  <w:num w:numId="10">
    <w:abstractNumId w:val="25"/>
  </w:num>
  <w:num w:numId="11">
    <w:abstractNumId w:val="31"/>
  </w:num>
  <w:num w:numId="12">
    <w:abstractNumId w:val="16"/>
  </w:num>
  <w:num w:numId="13">
    <w:abstractNumId w:val="10"/>
  </w:num>
  <w:num w:numId="14">
    <w:abstractNumId w:val="34"/>
  </w:num>
  <w:num w:numId="15">
    <w:abstractNumId w:val="32"/>
  </w:num>
  <w:num w:numId="16">
    <w:abstractNumId w:val="22"/>
  </w:num>
  <w:num w:numId="17">
    <w:abstractNumId w:val="24"/>
  </w:num>
  <w:num w:numId="18">
    <w:abstractNumId w:val="2"/>
  </w:num>
  <w:num w:numId="19">
    <w:abstractNumId w:val="27"/>
  </w:num>
  <w:num w:numId="20">
    <w:abstractNumId w:val="4"/>
  </w:num>
  <w:num w:numId="21">
    <w:abstractNumId w:val="20"/>
  </w:num>
  <w:num w:numId="22">
    <w:abstractNumId w:val="1"/>
  </w:num>
  <w:num w:numId="23">
    <w:abstractNumId w:val="28"/>
  </w:num>
  <w:num w:numId="24">
    <w:abstractNumId w:val="18"/>
  </w:num>
  <w:num w:numId="25">
    <w:abstractNumId w:val="9"/>
  </w:num>
  <w:num w:numId="26">
    <w:abstractNumId w:val="21"/>
  </w:num>
  <w:num w:numId="27">
    <w:abstractNumId w:val="7"/>
  </w:num>
  <w:num w:numId="28">
    <w:abstractNumId w:val="23"/>
  </w:num>
  <w:num w:numId="29">
    <w:abstractNumId w:val="11"/>
  </w:num>
  <w:num w:numId="30">
    <w:abstractNumId w:val="3"/>
  </w:num>
  <w:num w:numId="31">
    <w:abstractNumId w:val="13"/>
  </w:num>
  <w:num w:numId="32">
    <w:abstractNumId w:val="29"/>
  </w:num>
  <w:num w:numId="33">
    <w:abstractNumId w:val="33"/>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AD"/>
    <w:rsid w:val="000001E1"/>
    <w:rsid w:val="000415C8"/>
    <w:rsid w:val="00055683"/>
    <w:rsid w:val="000702C8"/>
    <w:rsid w:val="000B7BC6"/>
    <w:rsid w:val="000C011D"/>
    <w:rsid w:val="000D68E3"/>
    <w:rsid w:val="000E2B40"/>
    <w:rsid w:val="000F5E0D"/>
    <w:rsid w:val="00100C9F"/>
    <w:rsid w:val="00112EB8"/>
    <w:rsid w:val="00123089"/>
    <w:rsid w:val="00150D9C"/>
    <w:rsid w:val="001600CB"/>
    <w:rsid w:val="0016405C"/>
    <w:rsid w:val="00176E80"/>
    <w:rsid w:val="001E2567"/>
    <w:rsid w:val="001F1ED5"/>
    <w:rsid w:val="00211F1F"/>
    <w:rsid w:val="00266277"/>
    <w:rsid w:val="0027530D"/>
    <w:rsid w:val="00280D0E"/>
    <w:rsid w:val="002B248C"/>
    <w:rsid w:val="002B273F"/>
    <w:rsid w:val="002B7F80"/>
    <w:rsid w:val="003043C2"/>
    <w:rsid w:val="003175D4"/>
    <w:rsid w:val="00317710"/>
    <w:rsid w:val="00323C1B"/>
    <w:rsid w:val="0033033B"/>
    <w:rsid w:val="00340562"/>
    <w:rsid w:val="0035724D"/>
    <w:rsid w:val="003807F6"/>
    <w:rsid w:val="003814F7"/>
    <w:rsid w:val="00396259"/>
    <w:rsid w:val="003A0401"/>
    <w:rsid w:val="003C4CE2"/>
    <w:rsid w:val="003D71F4"/>
    <w:rsid w:val="003E6593"/>
    <w:rsid w:val="003F77FC"/>
    <w:rsid w:val="00400548"/>
    <w:rsid w:val="004152E4"/>
    <w:rsid w:val="004579F8"/>
    <w:rsid w:val="0047674F"/>
    <w:rsid w:val="004B5689"/>
    <w:rsid w:val="004C679F"/>
    <w:rsid w:val="004D0D66"/>
    <w:rsid w:val="004D5A35"/>
    <w:rsid w:val="004F3A20"/>
    <w:rsid w:val="004F3DDB"/>
    <w:rsid w:val="0054180B"/>
    <w:rsid w:val="0054357C"/>
    <w:rsid w:val="00550911"/>
    <w:rsid w:val="0055102A"/>
    <w:rsid w:val="005572CB"/>
    <w:rsid w:val="00572227"/>
    <w:rsid w:val="005D0E3F"/>
    <w:rsid w:val="005E5AE1"/>
    <w:rsid w:val="005E6AAD"/>
    <w:rsid w:val="00603074"/>
    <w:rsid w:val="0061774A"/>
    <w:rsid w:val="00621C36"/>
    <w:rsid w:val="00646011"/>
    <w:rsid w:val="00662113"/>
    <w:rsid w:val="00663F92"/>
    <w:rsid w:val="00674D89"/>
    <w:rsid w:val="006861A3"/>
    <w:rsid w:val="00687D83"/>
    <w:rsid w:val="00691D52"/>
    <w:rsid w:val="006A7FC2"/>
    <w:rsid w:val="006B3DD1"/>
    <w:rsid w:val="006E6BB5"/>
    <w:rsid w:val="007166BC"/>
    <w:rsid w:val="00721405"/>
    <w:rsid w:val="00726F06"/>
    <w:rsid w:val="00743A75"/>
    <w:rsid w:val="007478F7"/>
    <w:rsid w:val="00762018"/>
    <w:rsid w:val="00766234"/>
    <w:rsid w:val="00776FBA"/>
    <w:rsid w:val="00780550"/>
    <w:rsid w:val="00784178"/>
    <w:rsid w:val="007963FA"/>
    <w:rsid w:val="007B3E97"/>
    <w:rsid w:val="007C043E"/>
    <w:rsid w:val="007C2C76"/>
    <w:rsid w:val="007F4E9E"/>
    <w:rsid w:val="00813A87"/>
    <w:rsid w:val="00814D4B"/>
    <w:rsid w:val="008157CA"/>
    <w:rsid w:val="00833A9D"/>
    <w:rsid w:val="00833D06"/>
    <w:rsid w:val="00857401"/>
    <w:rsid w:val="00861AF6"/>
    <w:rsid w:val="00890BF7"/>
    <w:rsid w:val="00893B49"/>
    <w:rsid w:val="00896265"/>
    <w:rsid w:val="008A66A7"/>
    <w:rsid w:val="008B380D"/>
    <w:rsid w:val="008D54AD"/>
    <w:rsid w:val="008E5DC8"/>
    <w:rsid w:val="008E6967"/>
    <w:rsid w:val="008F20C0"/>
    <w:rsid w:val="00904E1E"/>
    <w:rsid w:val="009157D5"/>
    <w:rsid w:val="00933E2E"/>
    <w:rsid w:val="00950A90"/>
    <w:rsid w:val="00955DA7"/>
    <w:rsid w:val="009564DF"/>
    <w:rsid w:val="0096533A"/>
    <w:rsid w:val="00981678"/>
    <w:rsid w:val="009948AB"/>
    <w:rsid w:val="009E4E3C"/>
    <w:rsid w:val="009E64D1"/>
    <w:rsid w:val="00A15B09"/>
    <w:rsid w:val="00A21970"/>
    <w:rsid w:val="00A27857"/>
    <w:rsid w:val="00A42757"/>
    <w:rsid w:val="00A457C1"/>
    <w:rsid w:val="00A45F2A"/>
    <w:rsid w:val="00A8597B"/>
    <w:rsid w:val="00AA2740"/>
    <w:rsid w:val="00AD21D6"/>
    <w:rsid w:val="00AE0584"/>
    <w:rsid w:val="00AE5246"/>
    <w:rsid w:val="00AE7991"/>
    <w:rsid w:val="00AF05B2"/>
    <w:rsid w:val="00AF45ED"/>
    <w:rsid w:val="00AF4A3E"/>
    <w:rsid w:val="00B02E32"/>
    <w:rsid w:val="00B139A3"/>
    <w:rsid w:val="00B26CBA"/>
    <w:rsid w:val="00B40FFA"/>
    <w:rsid w:val="00B43F4C"/>
    <w:rsid w:val="00B62605"/>
    <w:rsid w:val="00B7020F"/>
    <w:rsid w:val="00B918A5"/>
    <w:rsid w:val="00BA5408"/>
    <w:rsid w:val="00BB0187"/>
    <w:rsid w:val="00BB3281"/>
    <w:rsid w:val="00BF0816"/>
    <w:rsid w:val="00C35DBE"/>
    <w:rsid w:val="00C41439"/>
    <w:rsid w:val="00C4543B"/>
    <w:rsid w:val="00C80894"/>
    <w:rsid w:val="00C82FA1"/>
    <w:rsid w:val="00C86C39"/>
    <w:rsid w:val="00C97DDB"/>
    <w:rsid w:val="00CD1868"/>
    <w:rsid w:val="00CF02E9"/>
    <w:rsid w:val="00CF1B9E"/>
    <w:rsid w:val="00CF55E3"/>
    <w:rsid w:val="00D0260D"/>
    <w:rsid w:val="00D0592C"/>
    <w:rsid w:val="00D1025C"/>
    <w:rsid w:val="00D1089F"/>
    <w:rsid w:val="00D55017"/>
    <w:rsid w:val="00D724B6"/>
    <w:rsid w:val="00D72C0C"/>
    <w:rsid w:val="00D84F1F"/>
    <w:rsid w:val="00DD6D90"/>
    <w:rsid w:val="00DD7B42"/>
    <w:rsid w:val="00DE4EF2"/>
    <w:rsid w:val="00DF58C8"/>
    <w:rsid w:val="00E05DEC"/>
    <w:rsid w:val="00E24DCB"/>
    <w:rsid w:val="00E42A69"/>
    <w:rsid w:val="00E64B0B"/>
    <w:rsid w:val="00E6602C"/>
    <w:rsid w:val="00E67EF2"/>
    <w:rsid w:val="00E83902"/>
    <w:rsid w:val="00ED2015"/>
    <w:rsid w:val="00F00276"/>
    <w:rsid w:val="00F11ED7"/>
    <w:rsid w:val="00F278F1"/>
    <w:rsid w:val="00F33ACA"/>
    <w:rsid w:val="00F45D21"/>
    <w:rsid w:val="00F519A0"/>
    <w:rsid w:val="00F51CC7"/>
    <w:rsid w:val="00F952BB"/>
    <w:rsid w:val="00FA46B5"/>
    <w:rsid w:val="00FA60E8"/>
    <w:rsid w:val="00FB192D"/>
    <w:rsid w:val="00FC2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8211"/>
  <w15:docId w15:val="{2132A0B6-3112-4EAE-A793-E2F4C36A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AAD"/>
    <w:pPr>
      <w:spacing w:after="160" w:line="259" w:lineRule="auto"/>
    </w:pPr>
  </w:style>
  <w:style w:type="paragraph" w:styleId="Heading2">
    <w:name w:val="heading 2"/>
    <w:basedOn w:val="Normal"/>
    <w:next w:val="Normal"/>
    <w:link w:val="Heading2Char"/>
    <w:uiPriority w:val="9"/>
    <w:unhideWhenUsed/>
    <w:qFormat/>
    <w:rsid w:val="005E6AAD"/>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726F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33D06"/>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A27BF7"/>
    <w:rPr>
      <w:rFonts w:ascii="Lucida Grande" w:hAnsi="Lucida Grande" w:cs="Lucida Grande"/>
      <w:sz w:val="18"/>
      <w:szCs w:val="18"/>
    </w:rPr>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paragraph" w:styleId="ListParagraph">
    <w:name w:val="List Paragraph"/>
    <w:basedOn w:val="Normal"/>
    <w:uiPriority w:val="34"/>
    <w:qFormat/>
    <w:rsid w:val="005E6AAD"/>
    <w:pPr>
      <w:ind w:left="720"/>
      <w:contextualSpacing/>
    </w:pPr>
  </w:style>
  <w:style w:type="character" w:styleId="Hyperlink">
    <w:name w:val="Hyperlink"/>
    <w:basedOn w:val="DefaultParagraphFont"/>
    <w:uiPriority w:val="99"/>
    <w:unhideWhenUsed/>
    <w:rsid w:val="005E6AAD"/>
    <w:rPr>
      <w:color w:val="0563C1" w:themeColor="hyperlink"/>
      <w:u w:val="single"/>
    </w:rPr>
  </w:style>
  <w:style w:type="table" w:styleId="TableGrid">
    <w:name w:val="Table Grid"/>
    <w:basedOn w:val="TableNormal"/>
    <w:uiPriority w:val="39"/>
    <w:rsid w:val="005E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AAD"/>
  </w:style>
  <w:style w:type="paragraph" w:styleId="Footer">
    <w:name w:val="footer"/>
    <w:basedOn w:val="Normal"/>
    <w:link w:val="FooterChar"/>
    <w:uiPriority w:val="99"/>
    <w:unhideWhenUsed/>
    <w:rsid w:val="005E6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AAD"/>
  </w:style>
  <w:style w:type="character" w:customStyle="1" w:styleId="Heading2Char">
    <w:name w:val="Heading 2 Char"/>
    <w:basedOn w:val="DefaultParagraphFont"/>
    <w:link w:val="Heading2"/>
    <w:uiPriority w:val="9"/>
    <w:rsid w:val="005E6AAD"/>
    <w:rPr>
      <w:rFonts w:asciiTheme="majorHAnsi" w:eastAsiaTheme="majorEastAsia" w:hAnsiTheme="majorHAnsi" w:cstheme="majorBidi"/>
      <w:color w:val="000000" w:themeColor="text1"/>
      <w:sz w:val="26"/>
      <w:szCs w:val="26"/>
    </w:rPr>
  </w:style>
  <w:style w:type="paragraph" w:styleId="CommentText">
    <w:name w:val="annotation text"/>
    <w:basedOn w:val="Normal"/>
    <w:link w:val="CommentTextChar"/>
    <w:uiPriority w:val="99"/>
    <w:unhideWhenUsed/>
    <w:rsid w:val="000702C8"/>
    <w:pPr>
      <w:spacing w:after="0" w:line="240" w:lineRule="auto"/>
    </w:pPr>
    <w:rPr>
      <w:rFonts w:ascii="Myriad Pro" w:hAnsi="Myriad Pro"/>
      <w:sz w:val="20"/>
      <w:szCs w:val="20"/>
    </w:rPr>
  </w:style>
  <w:style w:type="character" w:customStyle="1" w:styleId="CommentTextChar">
    <w:name w:val="Comment Text Char"/>
    <w:basedOn w:val="DefaultParagraphFont"/>
    <w:link w:val="CommentText"/>
    <w:uiPriority w:val="99"/>
    <w:rsid w:val="000702C8"/>
    <w:rPr>
      <w:rFonts w:ascii="Myriad Pro" w:hAnsi="Myriad Pro"/>
      <w:sz w:val="20"/>
      <w:szCs w:val="20"/>
    </w:rPr>
  </w:style>
  <w:style w:type="character" w:customStyle="1" w:styleId="Heading3Char">
    <w:name w:val="Heading 3 Char"/>
    <w:basedOn w:val="DefaultParagraphFont"/>
    <w:link w:val="Heading3"/>
    <w:uiPriority w:val="9"/>
    <w:rsid w:val="00726F0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33D06"/>
    <w:rPr>
      <w:sz w:val="16"/>
      <w:szCs w:val="16"/>
    </w:rPr>
  </w:style>
  <w:style w:type="character" w:customStyle="1" w:styleId="BalloonTextChar1">
    <w:name w:val="Balloon Text Char1"/>
    <w:basedOn w:val="DefaultParagraphFont"/>
    <w:link w:val="BalloonText"/>
    <w:uiPriority w:val="99"/>
    <w:semiHidden/>
    <w:rsid w:val="00833D06"/>
    <w:rPr>
      <w:rFonts w:ascii="Segoe UI" w:hAnsi="Segoe UI" w:cs="Segoe UI"/>
      <w:sz w:val="18"/>
      <w:szCs w:val="18"/>
    </w:rPr>
  </w:style>
  <w:style w:type="table" w:customStyle="1" w:styleId="ListTable4-Accent51">
    <w:name w:val="List Table 4 - Accent 51"/>
    <w:basedOn w:val="TableNormal"/>
    <w:uiPriority w:val="49"/>
    <w:rsid w:val="006460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54180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579F8"/>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579F8"/>
    <w:rPr>
      <w:rFonts w:ascii="Myriad Pro" w:hAnsi="Myriad Pro"/>
      <w:b/>
      <w:bCs/>
      <w:sz w:val="20"/>
      <w:szCs w:val="20"/>
    </w:rPr>
  </w:style>
  <w:style w:type="paragraph" w:styleId="Revision">
    <w:name w:val="Revision"/>
    <w:hidden/>
    <w:uiPriority w:val="99"/>
    <w:semiHidden/>
    <w:rsid w:val="002B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1967">
      <w:bodyDiv w:val="1"/>
      <w:marLeft w:val="0"/>
      <w:marRight w:val="0"/>
      <w:marTop w:val="0"/>
      <w:marBottom w:val="0"/>
      <w:divBdr>
        <w:top w:val="none" w:sz="0" w:space="0" w:color="auto"/>
        <w:left w:val="none" w:sz="0" w:space="0" w:color="auto"/>
        <w:bottom w:val="none" w:sz="0" w:space="0" w:color="auto"/>
        <w:right w:val="none" w:sz="0" w:space="0" w:color="auto"/>
      </w:divBdr>
      <w:divsChild>
        <w:div w:id="768618686">
          <w:marLeft w:val="274"/>
          <w:marRight w:val="0"/>
          <w:marTop w:val="120"/>
          <w:marBottom w:val="120"/>
          <w:divBdr>
            <w:top w:val="none" w:sz="0" w:space="0" w:color="auto"/>
            <w:left w:val="none" w:sz="0" w:space="0" w:color="auto"/>
            <w:bottom w:val="none" w:sz="0" w:space="0" w:color="auto"/>
            <w:right w:val="none" w:sz="0" w:space="0" w:color="auto"/>
          </w:divBdr>
        </w:div>
        <w:div w:id="303391064">
          <w:marLeft w:val="274"/>
          <w:marRight w:val="0"/>
          <w:marTop w:val="120"/>
          <w:marBottom w:val="120"/>
          <w:divBdr>
            <w:top w:val="none" w:sz="0" w:space="0" w:color="auto"/>
            <w:left w:val="none" w:sz="0" w:space="0" w:color="auto"/>
            <w:bottom w:val="none" w:sz="0" w:space="0" w:color="auto"/>
            <w:right w:val="none" w:sz="0" w:space="0" w:color="auto"/>
          </w:divBdr>
        </w:div>
        <w:div w:id="50660318">
          <w:marLeft w:val="274"/>
          <w:marRight w:val="0"/>
          <w:marTop w:val="120"/>
          <w:marBottom w:val="120"/>
          <w:divBdr>
            <w:top w:val="none" w:sz="0" w:space="0" w:color="auto"/>
            <w:left w:val="none" w:sz="0" w:space="0" w:color="auto"/>
            <w:bottom w:val="none" w:sz="0" w:space="0" w:color="auto"/>
            <w:right w:val="none" w:sz="0" w:space="0" w:color="auto"/>
          </w:divBdr>
        </w:div>
        <w:div w:id="2117750952">
          <w:marLeft w:val="274"/>
          <w:marRight w:val="0"/>
          <w:marTop w:val="120"/>
          <w:marBottom w:val="120"/>
          <w:divBdr>
            <w:top w:val="none" w:sz="0" w:space="0" w:color="auto"/>
            <w:left w:val="none" w:sz="0" w:space="0" w:color="auto"/>
            <w:bottom w:val="none" w:sz="0" w:space="0" w:color="auto"/>
            <w:right w:val="none" w:sz="0" w:space="0" w:color="auto"/>
          </w:divBdr>
        </w:div>
        <w:div w:id="159659789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9A52-E379-42FC-99ED-AFCBF728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Meredith Hills</cp:lastModifiedBy>
  <cp:revision>2</cp:revision>
  <dcterms:created xsi:type="dcterms:W3CDTF">2018-10-26T19:35:00Z</dcterms:created>
  <dcterms:modified xsi:type="dcterms:W3CDTF">2018-10-26T19:35:00Z</dcterms:modified>
</cp:coreProperties>
</file>