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C2746" w14:textId="77777777" w:rsidR="004E3EBB" w:rsidRDefault="00A374EF" w:rsidP="009B56B1"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2C17B26" wp14:editId="139E4A3B">
            <wp:simplePos x="0" y="0"/>
            <wp:positionH relativeFrom="column">
              <wp:posOffset>5010150</wp:posOffset>
            </wp:positionH>
            <wp:positionV relativeFrom="paragraph">
              <wp:posOffset>-571500</wp:posOffset>
            </wp:positionV>
            <wp:extent cx="1108710" cy="1233805"/>
            <wp:effectExtent l="0" t="0" r="0" b="444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856"/>
        <w:gridCol w:w="662"/>
        <w:gridCol w:w="5347"/>
      </w:tblGrid>
      <w:tr w:rsidR="009B56B1" w:rsidRPr="0084181C" w14:paraId="1184429D" w14:textId="77777777" w:rsidTr="00F00741">
        <w:trPr>
          <w:tblHeader/>
        </w:trPr>
        <w:tc>
          <w:tcPr>
            <w:tcW w:w="93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B8259" w14:textId="77777777" w:rsidR="009B56B1" w:rsidRPr="0084181C" w:rsidRDefault="009B56B1" w:rsidP="00F00741">
            <w:pPr>
              <w:rPr>
                <w:rFonts w:eastAsia="Times New Roman" w:cs="Arial"/>
                <w:b/>
                <w:bCs/>
                <w:lang w:bidi="ar-SA"/>
              </w:rPr>
            </w:pPr>
            <w:r w:rsidRPr="0084181C">
              <w:rPr>
                <w:b/>
                <w:sz w:val="27"/>
                <w:szCs w:val="27"/>
              </w:rPr>
              <w:t>National Standards for Family and Consumer Sciences Education</w:t>
            </w:r>
            <w:r w:rsidRPr="0084181C">
              <w:br/>
            </w:r>
            <w:r w:rsidRPr="0084181C">
              <w:rPr>
                <w:sz w:val="20"/>
                <w:szCs w:val="20"/>
              </w:rPr>
              <w:t>Copyright © 2018</w:t>
            </w:r>
            <w:r w:rsidRPr="0084181C">
              <w:rPr>
                <w:sz w:val="20"/>
                <w:szCs w:val="20"/>
              </w:rPr>
              <w:br/>
              <w:t>Developed by National Association of State Administrators of Family and Consumer Sciences (NASAFACS)</w:t>
            </w:r>
          </w:p>
        </w:tc>
      </w:tr>
      <w:tr w:rsidR="009B56B1" w:rsidRPr="0084181C" w14:paraId="7AC81626" w14:textId="77777777" w:rsidTr="00F00741">
        <w:trPr>
          <w:tblHeader/>
        </w:trPr>
        <w:tc>
          <w:tcPr>
            <w:tcW w:w="93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2FF2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b/>
                <w:bCs/>
                <w:sz w:val="22"/>
                <w:szCs w:val="22"/>
                <w:lang w:bidi="ar-SA"/>
              </w:rPr>
              <w:t>Area of Study 4.0</w:t>
            </w:r>
          </w:p>
        </w:tc>
      </w:tr>
      <w:tr w:rsidR="009B56B1" w:rsidRPr="0084181C" w14:paraId="4A6F9F42" w14:textId="77777777" w:rsidTr="00F00741">
        <w:trPr>
          <w:tblHeader/>
        </w:trPr>
        <w:tc>
          <w:tcPr>
            <w:tcW w:w="93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6BBB2" w14:textId="77777777" w:rsidR="009B56B1" w:rsidRDefault="009B56B1" w:rsidP="00F00741">
            <w:pPr>
              <w:rPr>
                <w:rFonts w:eastAsia="Times New Roman" w:cs="Arial"/>
                <w:b/>
                <w:bCs/>
                <w:sz w:val="22"/>
                <w:szCs w:val="22"/>
                <w:lang w:bidi="ar-SA"/>
              </w:rPr>
            </w:pPr>
            <w:r w:rsidRPr="0084181C">
              <w:rPr>
                <w:rFonts w:eastAsia="Times New Roman" w:cs="Arial"/>
                <w:b/>
                <w:bCs/>
                <w:sz w:val="22"/>
                <w:szCs w:val="22"/>
                <w:lang w:bidi="ar-SA"/>
              </w:rPr>
              <w:t>Education and Early Childhood</w:t>
            </w:r>
          </w:p>
          <w:p w14:paraId="425B7A4C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</w:tr>
      <w:tr w:rsidR="009B56B1" w14:paraId="321EDB11" w14:textId="77777777" w:rsidTr="00F00741">
        <w:tc>
          <w:tcPr>
            <w:tcW w:w="93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D852A" w14:textId="77777777" w:rsidR="000F6BA7" w:rsidRDefault="000F6BA7" w:rsidP="000F6BA7">
            <w:pPr>
              <w:rPr>
                <w:rFonts w:eastAsia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bidi="ar-SA"/>
              </w:rPr>
              <w:t>Usage Guidelines</w:t>
            </w:r>
          </w:p>
          <w:p w14:paraId="4E2A5C19" w14:textId="77777777" w:rsidR="00761027" w:rsidRPr="00CF0FF0" w:rsidRDefault="00761027" w:rsidP="00761027">
            <w:pPr>
              <w:numPr>
                <w:ilvl w:val="0"/>
                <w:numId w:val="1"/>
              </w:numPr>
              <w:rPr>
                <w:rFonts w:eastAsia="Times New Roman"/>
                <w:b/>
                <w:bCs/>
                <w:sz w:val="22"/>
                <w:szCs w:val="22"/>
                <w:lang w:bidi="ar-SA"/>
              </w:rPr>
            </w:pPr>
            <w:r w:rsidRPr="003C160F">
              <w:rPr>
                <w:rFonts w:eastAsia="Times New Roman" w:cs="Arial"/>
                <w:bCs/>
                <w:sz w:val="22"/>
                <w:szCs w:val="22"/>
                <w:lang w:bidi="ar-SA"/>
              </w:rPr>
              <w:t xml:space="preserve">Family and Consumer </w:t>
            </w:r>
            <w:r>
              <w:rPr>
                <w:rFonts w:eastAsia="Times New Roman" w:cs="Arial"/>
                <w:bCs/>
                <w:sz w:val="22"/>
                <w:szCs w:val="22"/>
                <w:lang w:bidi="ar-SA"/>
              </w:rPr>
              <w:t xml:space="preserve">Sciences National Standards are </w:t>
            </w:r>
            <w:r w:rsidRPr="00CF0FF0">
              <w:rPr>
                <w:rFonts w:eastAsia="Times New Roman" w:cs="Arial"/>
                <w:bCs/>
                <w:sz w:val="22"/>
                <w:szCs w:val="22"/>
                <w:u w:val="single"/>
                <w:lang w:bidi="ar-SA"/>
              </w:rPr>
              <w:t>outcomes</w:t>
            </w:r>
            <w:r>
              <w:rPr>
                <w:rFonts w:eastAsia="Times New Roman" w:cs="Arial"/>
                <w:bCs/>
                <w:sz w:val="22"/>
                <w:szCs w:val="22"/>
                <w:lang w:bidi="ar-SA"/>
              </w:rPr>
              <w:t xml:space="preserve">; that is, expectations of what students should know and be able to do upon completion of a sequence of courses in a defined pathway/program of study. </w:t>
            </w:r>
          </w:p>
          <w:p w14:paraId="4A1BFBA1" w14:textId="77777777" w:rsidR="00761027" w:rsidRPr="00CF0FF0" w:rsidRDefault="00761027" w:rsidP="00761027">
            <w:pPr>
              <w:numPr>
                <w:ilvl w:val="0"/>
                <w:numId w:val="1"/>
              </w:numPr>
              <w:rPr>
                <w:rFonts w:eastAsia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Arial"/>
                <w:bCs/>
                <w:sz w:val="22"/>
                <w:szCs w:val="22"/>
                <w:lang w:bidi="ar-SA"/>
              </w:rPr>
              <w:t xml:space="preserve">As state or local curriculum is developed, the national standards should be utilized as indicators of student achievement at the end of the pathway/program of study. Benchmarks should be developed at the state or local level for student achievement in earlier courses. </w:t>
            </w:r>
          </w:p>
          <w:p w14:paraId="2E913372" w14:textId="77777777" w:rsidR="009B56B1" w:rsidRPr="00761027" w:rsidRDefault="009B56B1" w:rsidP="00761027">
            <w:pPr>
              <w:pStyle w:val="ListParagraph"/>
              <w:numPr>
                <w:ilvl w:val="0"/>
                <w:numId w:val="1"/>
              </w:numPr>
              <w:rPr>
                <w:rFonts w:eastAsia="Times New Roman" w:cs="Arial"/>
                <w:bCs/>
                <w:sz w:val="22"/>
                <w:szCs w:val="22"/>
                <w:lang w:bidi="ar-SA"/>
              </w:rPr>
            </w:pPr>
            <w:r w:rsidRPr="00761027">
              <w:rPr>
                <w:rFonts w:eastAsia="Times New Roman" w:cs="Arial"/>
                <w:bCs/>
                <w:sz w:val="22"/>
                <w:szCs w:val="22"/>
                <w:lang w:bidi="ar-SA"/>
              </w:rPr>
              <w:t>The standards are grouped by Areas of Study, NOT by courses</w:t>
            </w:r>
            <w:r w:rsidR="006A45F6" w:rsidRPr="00761027">
              <w:rPr>
                <w:rFonts w:eastAsia="Times New Roman" w:cs="Arial"/>
                <w:bCs/>
                <w:sz w:val="22"/>
                <w:szCs w:val="22"/>
                <w:lang w:bidi="ar-SA"/>
              </w:rPr>
              <w:t xml:space="preserve"> or course sequences. It is expected that content knowledge and skills from multiple Areas of Study would be utilized when building courses and course sequences </w:t>
            </w:r>
            <w:r w:rsidRPr="00761027">
              <w:rPr>
                <w:rFonts w:eastAsia="Times New Roman" w:cs="Arial"/>
                <w:bCs/>
                <w:sz w:val="22"/>
                <w:szCs w:val="22"/>
                <w:lang w:bidi="ar-SA"/>
              </w:rPr>
              <w:t>for state or local uses. For example, standards from Area 1-Career, Community and Life Connections, Area 12-Human Development, and Area 13-Interpersonal Relationships, as well as standards from other Areas of Study, might be incorporated into course sequences for Education and Early Childhood pathways.</w:t>
            </w:r>
          </w:p>
          <w:p w14:paraId="136F5BBB" w14:textId="77777777" w:rsidR="009B56B1" w:rsidRDefault="009B56B1" w:rsidP="00F00741"/>
        </w:tc>
      </w:tr>
      <w:tr w:rsidR="009B56B1" w:rsidRPr="0084181C" w14:paraId="3FC96B17" w14:textId="77777777" w:rsidTr="00F00741">
        <w:tc>
          <w:tcPr>
            <w:tcW w:w="93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6F59D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b/>
                <w:bCs/>
                <w:sz w:val="22"/>
                <w:szCs w:val="22"/>
                <w:lang w:bidi="ar-SA"/>
              </w:rPr>
              <w:t>Comprehensive Standard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br/>
              <w:t>Integrate knowledge, skills, and practices required for careers in early childhood, education, and services</w:t>
            </w:r>
          </w:p>
        </w:tc>
      </w:tr>
      <w:tr w:rsidR="009B56B1" w:rsidRPr="0084181C" w14:paraId="7A29A64C" w14:textId="77777777" w:rsidTr="00F00741">
        <w:tc>
          <w:tcPr>
            <w:tcW w:w="93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E3024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 </w:t>
            </w:r>
          </w:p>
        </w:tc>
      </w:tr>
      <w:tr w:rsidR="009B56B1" w:rsidRPr="0084181C" w14:paraId="7E1116BD" w14:textId="77777777" w:rsidTr="00F00741">
        <w:tc>
          <w:tcPr>
            <w:tcW w:w="33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DADEB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b/>
                <w:bCs/>
                <w:sz w:val="22"/>
                <w:szCs w:val="22"/>
                <w:lang w:bidi="ar-SA"/>
              </w:rPr>
              <w:t>Content Standards</w:t>
            </w:r>
          </w:p>
        </w:tc>
        <w:tc>
          <w:tcPr>
            <w:tcW w:w="60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5D10A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b/>
                <w:bCs/>
                <w:sz w:val="22"/>
                <w:szCs w:val="22"/>
                <w:lang w:bidi="ar-SA"/>
              </w:rPr>
              <w:t>Competencies</w:t>
            </w:r>
          </w:p>
        </w:tc>
      </w:tr>
      <w:tr w:rsidR="009B56B1" w:rsidRPr="0084181C" w14:paraId="2D774DB7" w14:textId="77777777" w:rsidTr="00F00741">
        <w:tc>
          <w:tcPr>
            <w:tcW w:w="4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25402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4.1</w:t>
            </w:r>
          </w:p>
        </w:tc>
        <w:tc>
          <w:tcPr>
            <w:tcW w:w="28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DBA9A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Analyze career paths within early childhood, education &amp; related services.</w:t>
            </w: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C72BF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4.1.1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AEA31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Explain the roles and functions of individuals engaged in early childhood, education, and services.</w:t>
            </w:r>
          </w:p>
        </w:tc>
      </w:tr>
      <w:tr w:rsidR="009B56B1" w:rsidRPr="0084181C" w14:paraId="271E2747" w14:textId="77777777" w:rsidTr="00F00741">
        <w:tc>
          <w:tcPr>
            <w:tcW w:w="0" w:type="auto"/>
            <w:vMerge/>
            <w:vAlign w:val="center"/>
            <w:hideMark/>
          </w:tcPr>
          <w:p w14:paraId="54ED3F3E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A01E97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2645E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4.1.2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137FF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Analyze opportunities for employment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>,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 entrepreneurial endeavors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>, and emerging careers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.</w:t>
            </w:r>
          </w:p>
        </w:tc>
      </w:tr>
      <w:tr w:rsidR="009B56B1" w:rsidRPr="0084181C" w14:paraId="57BC031C" w14:textId="77777777" w:rsidTr="00F00741">
        <w:tc>
          <w:tcPr>
            <w:tcW w:w="0" w:type="auto"/>
            <w:vMerge/>
            <w:vAlign w:val="center"/>
            <w:hideMark/>
          </w:tcPr>
          <w:p w14:paraId="4AD58903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F61718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10037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4.1.3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1E145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Summarize education and training requirements and opportunities for career paths in early childhood, education, and services.</w:t>
            </w:r>
          </w:p>
        </w:tc>
      </w:tr>
      <w:tr w:rsidR="009B56B1" w:rsidRPr="0084181C" w14:paraId="3DC98B75" w14:textId="77777777" w:rsidTr="00F00741">
        <w:tc>
          <w:tcPr>
            <w:tcW w:w="0" w:type="auto"/>
            <w:vMerge/>
            <w:vAlign w:val="center"/>
            <w:hideMark/>
          </w:tcPr>
          <w:p w14:paraId="62D02A5A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F5AF16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ACA83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4.1.4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7F688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35BB1">
              <w:rPr>
                <w:rFonts w:eastAsia="Times New Roman" w:cs="Arial"/>
                <w:sz w:val="22"/>
                <w:szCs w:val="22"/>
                <w:lang w:bidi="ar-SA"/>
              </w:rPr>
              <w:t>Analyze the impact of early childhood, education, and services occupations on individual/family, local, state, national, and global economies.</w:t>
            </w:r>
          </w:p>
        </w:tc>
      </w:tr>
      <w:tr w:rsidR="009B56B1" w:rsidRPr="0084181C" w14:paraId="2A244B62" w14:textId="77777777" w:rsidTr="00F00741">
        <w:tc>
          <w:tcPr>
            <w:tcW w:w="0" w:type="auto"/>
            <w:vMerge/>
            <w:vAlign w:val="center"/>
            <w:hideMark/>
          </w:tcPr>
          <w:p w14:paraId="77F7EF5A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A64674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9CC98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4.1.5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AD82F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Create an employment portfolio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 to communicate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 education and early childhood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 knowledge and skills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.</w:t>
            </w:r>
          </w:p>
        </w:tc>
      </w:tr>
      <w:tr w:rsidR="009B56B1" w:rsidRPr="0084181C" w14:paraId="78D4A987" w14:textId="77777777" w:rsidTr="00F00741">
        <w:tc>
          <w:tcPr>
            <w:tcW w:w="0" w:type="auto"/>
            <w:vMerge/>
            <w:vAlign w:val="center"/>
            <w:hideMark/>
          </w:tcPr>
          <w:p w14:paraId="4D6CACF1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33782F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68CBA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4.1.6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17365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Analyze the role of professional organizations in education and early childhood.</w:t>
            </w:r>
          </w:p>
        </w:tc>
      </w:tr>
      <w:tr w:rsidR="009B56B1" w:rsidRPr="0084181C" w14:paraId="490C79A7" w14:textId="77777777" w:rsidTr="00F00741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896F5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3F2AB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176C4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62594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/>
                <w:sz w:val="22"/>
                <w:szCs w:val="22"/>
                <w:lang w:bidi="ar-SA"/>
              </w:rPr>
              <w:t> </w:t>
            </w:r>
          </w:p>
        </w:tc>
      </w:tr>
      <w:tr w:rsidR="009B56B1" w:rsidRPr="0084181C" w14:paraId="5EB462F3" w14:textId="77777777" w:rsidTr="00F00741">
        <w:tc>
          <w:tcPr>
            <w:tcW w:w="4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3E22B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4.2</w:t>
            </w:r>
          </w:p>
        </w:tc>
        <w:tc>
          <w:tcPr>
            <w:tcW w:w="28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8780A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Anal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yze developmentally appropriate and culturally responsive 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practices to plan for early childhood, education, and services.</w:t>
            </w: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2118A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4.2.1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7C95B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Analyze child development theories and their implications for educational and childcare practices.</w:t>
            </w:r>
          </w:p>
        </w:tc>
      </w:tr>
      <w:tr w:rsidR="009B56B1" w:rsidRPr="0084181C" w14:paraId="7D3A0E71" w14:textId="77777777" w:rsidTr="00F00741">
        <w:tc>
          <w:tcPr>
            <w:tcW w:w="0" w:type="auto"/>
            <w:vMerge/>
            <w:vAlign w:val="center"/>
            <w:hideMark/>
          </w:tcPr>
          <w:p w14:paraId="4944FBA3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76839D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4115A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4.2.2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A7227" w14:textId="77777777" w:rsidR="009B56B1" w:rsidRPr="0084181C" w:rsidRDefault="006A45F6" w:rsidP="00F00741">
            <w:pPr>
              <w:rPr>
                <w:rFonts w:eastAsia="Times New Roman"/>
                <w:lang w:bidi="ar-SA"/>
              </w:rPr>
            </w:pP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Explore </w:t>
            </w:r>
            <w:r w:rsidR="009B56B1"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assessment 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tools and </w:t>
            </w:r>
            <w:r w:rsidR="009B56B1" w:rsidRPr="0084181C">
              <w:rPr>
                <w:rFonts w:eastAsia="Times New Roman" w:cs="Arial"/>
                <w:sz w:val="22"/>
                <w:szCs w:val="22"/>
                <w:lang w:bidi="ar-SA"/>
              </w:rPr>
              <w:t>methods to observe and interpret children's growth and development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 and apply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 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to assess growth and development across the lifespan. </w:t>
            </w:r>
          </w:p>
        </w:tc>
      </w:tr>
      <w:tr w:rsidR="009B56B1" w:rsidRPr="0084181C" w14:paraId="57145CFE" w14:textId="77777777" w:rsidTr="00F00741">
        <w:tc>
          <w:tcPr>
            <w:tcW w:w="0" w:type="auto"/>
            <w:vMerge/>
            <w:vAlign w:val="center"/>
            <w:hideMark/>
          </w:tcPr>
          <w:p w14:paraId="374901CF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D72650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582D0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4.2.3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81E6F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Analyze cultural and environmental influences when assessing development</w:t>
            </w:r>
            <w:r w:rsidR="006A45F6"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 </w:t>
            </w:r>
            <w:r w:rsidR="006A45F6">
              <w:rPr>
                <w:rFonts w:eastAsia="Times New Roman" w:cs="Arial"/>
                <w:sz w:val="22"/>
                <w:szCs w:val="22"/>
                <w:lang w:bidi="ar-SA"/>
              </w:rPr>
              <w:t>of children, youth and adults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.</w:t>
            </w:r>
          </w:p>
        </w:tc>
      </w:tr>
      <w:tr w:rsidR="009B56B1" w:rsidRPr="0084181C" w14:paraId="524DA57E" w14:textId="77777777" w:rsidTr="00F00741">
        <w:tc>
          <w:tcPr>
            <w:tcW w:w="0" w:type="auto"/>
            <w:vMerge/>
            <w:vAlign w:val="center"/>
            <w:hideMark/>
          </w:tcPr>
          <w:p w14:paraId="43405FDA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AA1766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0586D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4.2.4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D4C86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Address specific </w:t>
            </w:r>
            <w:r w:rsidR="006A45F6">
              <w:rPr>
                <w:rFonts w:eastAsia="Times New Roman" w:cs="Arial"/>
                <w:sz w:val="22"/>
                <w:szCs w:val="22"/>
                <w:lang w:bidi="ar-SA"/>
              </w:rPr>
              <w:t xml:space="preserve">developmental needs of children, youth and adults 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based on assessment of </w:t>
            </w:r>
            <w:r w:rsidR="006A45F6">
              <w:rPr>
                <w:rFonts w:eastAsia="Times New Roman" w:cs="Arial"/>
                <w:sz w:val="22"/>
                <w:szCs w:val="22"/>
                <w:lang w:bidi="ar-SA"/>
              </w:rPr>
              <w:t>their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 abilities.  </w:t>
            </w:r>
          </w:p>
        </w:tc>
      </w:tr>
      <w:tr w:rsidR="009B56B1" w:rsidRPr="0084181C" w14:paraId="42B3CBD2" w14:textId="77777777" w:rsidTr="00F00741">
        <w:tc>
          <w:tcPr>
            <w:tcW w:w="0" w:type="auto"/>
            <w:vMerge/>
            <w:vAlign w:val="center"/>
            <w:hideMark/>
          </w:tcPr>
          <w:p w14:paraId="07D2B382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3D48CF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F0B15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4.2.5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91552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Analyze strategies that promote growth and development</w:t>
            </w:r>
            <w:r w:rsidR="006A45F6">
              <w:rPr>
                <w:rFonts w:eastAsia="Times New Roman" w:cs="Arial"/>
                <w:sz w:val="22"/>
                <w:szCs w:val="22"/>
                <w:lang w:bidi="ar-SA"/>
              </w:rPr>
              <w:t xml:space="preserve"> of</w:t>
            </w:r>
            <w:r w:rsidR="006A45F6"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 children</w:t>
            </w:r>
            <w:r w:rsidR="006A45F6">
              <w:rPr>
                <w:rFonts w:eastAsia="Times New Roman" w:cs="Arial"/>
                <w:sz w:val="22"/>
                <w:szCs w:val="22"/>
                <w:lang w:bidi="ar-SA"/>
              </w:rPr>
              <w:t>, youth and adult</w:t>
            </w:r>
            <w:r w:rsidR="006A45F6" w:rsidRPr="0084181C">
              <w:rPr>
                <w:rFonts w:eastAsia="Times New Roman" w:cs="Arial"/>
                <w:sz w:val="22"/>
                <w:szCs w:val="22"/>
                <w:lang w:bidi="ar-SA"/>
              </w:rPr>
              <w:t>s</w:t>
            </w:r>
            <w:r w:rsidR="006A45F6">
              <w:rPr>
                <w:rFonts w:eastAsia="Times New Roman" w:cs="Arial"/>
                <w:sz w:val="22"/>
                <w:szCs w:val="22"/>
                <w:lang w:bidi="ar-SA"/>
              </w:rPr>
              <w:t>.</w:t>
            </w:r>
          </w:p>
        </w:tc>
      </w:tr>
      <w:tr w:rsidR="009B56B1" w:rsidRPr="0084181C" w14:paraId="4EF65126" w14:textId="77777777" w:rsidTr="00F00741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F19C0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81CA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EEE35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56090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 </w:t>
            </w:r>
          </w:p>
        </w:tc>
      </w:tr>
      <w:tr w:rsidR="009B56B1" w:rsidRPr="0084181C" w14:paraId="2E43675E" w14:textId="77777777" w:rsidTr="00F00741">
        <w:tc>
          <w:tcPr>
            <w:tcW w:w="4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3FAAA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4.3</w:t>
            </w:r>
          </w:p>
        </w:tc>
        <w:tc>
          <w:tcPr>
            <w:tcW w:w="28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4401E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Demonstrate integration of curriculum and instruction to meet developmental needs and interests</w:t>
            </w:r>
            <w:r w:rsidR="006A45F6">
              <w:rPr>
                <w:rFonts w:eastAsia="Times New Roman" w:cs="Arial"/>
                <w:sz w:val="22"/>
                <w:szCs w:val="22"/>
                <w:lang w:bidi="ar-SA"/>
              </w:rPr>
              <w:t xml:space="preserve"> of children, youth and adults</w:t>
            </w:r>
            <w:r w:rsidR="00704119">
              <w:rPr>
                <w:rFonts w:eastAsia="Times New Roman" w:cs="Arial"/>
                <w:sz w:val="22"/>
                <w:szCs w:val="22"/>
                <w:lang w:bidi="ar-SA"/>
              </w:rPr>
              <w:t>, considering gender, ethnicity, geographical, cultural, and global influences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.</w:t>
            </w: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CC27A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4.3.1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D744C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Analyze a variety of curriculum and instructional models.</w:t>
            </w:r>
          </w:p>
        </w:tc>
      </w:tr>
      <w:tr w:rsidR="009B56B1" w:rsidRPr="0084181C" w14:paraId="74064613" w14:textId="77777777" w:rsidTr="00F00741">
        <w:tc>
          <w:tcPr>
            <w:tcW w:w="0" w:type="auto"/>
            <w:vMerge/>
            <w:vAlign w:val="center"/>
            <w:hideMark/>
          </w:tcPr>
          <w:p w14:paraId="6AE1603B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35A487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5BADE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4.3.2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E98BC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Implement learning activities in all curriculum areas that meet the developmental needs of </w:t>
            </w:r>
            <w:r w:rsidR="006A45F6">
              <w:rPr>
                <w:rFonts w:eastAsia="Times New Roman" w:cs="Arial"/>
                <w:sz w:val="22"/>
                <w:szCs w:val="22"/>
                <w:lang w:bidi="ar-SA"/>
              </w:rPr>
              <w:t>learners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.</w:t>
            </w:r>
          </w:p>
        </w:tc>
      </w:tr>
      <w:tr w:rsidR="009B56B1" w:rsidRPr="0084181C" w14:paraId="75E6E37D" w14:textId="77777777" w:rsidTr="00F00741">
        <w:tc>
          <w:tcPr>
            <w:tcW w:w="0" w:type="auto"/>
            <w:vMerge/>
            <w:vAlign w:val="center"/>
            <w:hideMark/>
          </w:tcPr>
          <w:p w14:paraId="2FBB48AE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E005C4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9FFC7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4.3.3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64B63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Implement an integrated curriculum that incorporates a </w:t>
            </w:r>
            <w:r w:rsidR="006A45F6">
              <w:rPr>
                <w:rFonts w:eastAsia="Times New Roman" w:cs="Arial"/>
                <w:sz w:val="22"/>
                <w:szCs w:val="22"/>
                <w:lang w:bidi="ar-SA"/>
              </w:rPr>
              <w:t>learner's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 language, learning styles, early experiences, and cultural values.</w:t>
            </w:r>
          </w:p>
        </w:tc>
      </w:tr>
      <w:tr w:rsidR="009B56B1" w:rsidRPr="0084181C" w14:paraId="08852B0D" w14:textId="77777777" w:rsidTr="00F00741">
        <w:tc>
          <w:tcPr>
            <w:tcW w:w="0" w:type="auto"/>
            <w:vMerge/>
            <w:vAlign w:val="center"/>
            <w:hideMark/>
          </w:tcPr>
          <w:p w14:paraId="35B21A09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9DAD34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A66E1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4.3.4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9880C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Demonstrate a variety of teaching methods to meet individual needs of </w:t>
            </w:r>
            <w:r w:rsidR="006A45F6">
              <w:rPr>
                <w:rFonts w:eastAsia="Times New Roman" w:cs="Arial"/>
                <w:sz w:val="22"/>
                <w:szCs w:val="22"/>
                <w:lang w:bidi="ar-SA"/>
              </w:rPr>
              <w:t>learners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.</w:t>
            </w:r>
          </w:p>
        </w:tc>
      </w:tr>
      <w:tr w:rsidR="009B56B1" w:rsidRPr="0084181C" w14:paraId="4EF900FB" w14:textId="77777777" w:rsidTr="00F00741">
        <w:tc>
          <w:tcPr>
            <w:tcW w:w="0" w:type="auto"/>
            <w:vMerge/>
            <w:vAlign w:val="center"/>
            <w:hideMark/>
          </w:tcPr>
          <w:p w14:paraId="77D13A68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BA99D3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BF8D1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4.3.5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51024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Arrange 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the classroom environment to 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provide for </w:t>
            </w:r>
            <w:r w:rsidR="006A45F6">
              <w:rPr>
                <w:rFonts w:eastAsia="Times New Roman" w:cs="Arial"/>
                <w:sz w:val="22"/>
                <w:szCs w:val="22"/>
                <w:lang w:bidi="ar-SA"/>
              </w:rPr>
              <w:t>learners'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 exploration, discovery, </w:t>
            </w:r>
            <w:r w:rsidR="009F57A0">
              <w:rPr>
                <w:rFonts w:eastAsia="Times New Roman" w:cs="Arial"/>
                <w:sz w:val="22"/>
                <w:szCs w:val="22"/>
                <w:lang w:bidi="ar-SA"/>
              </w:rPr>
              <w:t>development, and reflection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 through multiple methods including learning centers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.</w:t>
            </w:r>
          </w:p>
        </w:tc>
      </w:tr>
      <w:tr w:rsidR="009B56B1" w:rsidRPr="0084181C" w14:paraId="08330240" w14:textId="77777777" w:rsidTr="00F00741">
        <w:tc>
          <w:tcPr>
            <w:tcW w:w="0" w:type="auto"/>
            <w:vMerge/>
            <w:vAlign w:val="center"/>
            <w:hideMark/>
          </w:tcPr>
          <w:p w14:paraId="41A78E1A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034B05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1D4E9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4.3.6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BD2B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Establish 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effective 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activities, routines, and transitions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 for various age groups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.</w:t>
            </w:r>
          </w:p>
        </w:tc>
      </w:tr>
      <w:tr w:rsidR="009B56B1" w:rsidRPr="0084181C" w14:paraId="07C30509" w14:textId="77777777" w:rsidTr="00F00741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A0CBF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7B767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3D737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428ED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 </w:t>
            </w:r>
          </w:p>
        </w:tc>
      </w:tr>
      <w:tr w:rsidR="009B56B1" w:rsidRPr="0084181C" w14:paraId="51CF391A" w14:textId="77777777" w:rsidTr="00F00741">
        <w:tc>
          <w:tcPr>
            <w:tcW w:w="4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4E456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4.4</w:t>
            </w:r>
          </w:p>
        </w:tc>
        <w:tc>
          <w:tcPr>
            <w:tcW w:w="28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8AEAD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Demonstrate a safe and healthy learning environment for children</w:t>
            </w:r>
            <w:r w:rsidR="006A45F6">
              <w:rPr>
                <w:rFonts w:eastAsia="Times New Roman" w:cs="Arial"/>
                <w:sz w:val="22"/>
                <w:szCs w:val="22"/>
                <w:lang w:bidi="ar-SA"/>
              </w:rPr>
              <w:t>, youth and adults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.</w:t>
            </w: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21138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4.4.1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B5A2C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Manage physical space to maintain a learning environment that is safe and healthy and encourages physical activity.</w:t>
            </w:r>
          </w:p>
        </w:tc>
      </w:tr>
      <w:tr w:rsidR="009B56B1" w:rsidRPr="0084181C" w14:paraId="764B4CC5" w14:textId="77777777" w:rsidTr="00F00741">
        <w:tc>
          <w:tcPr>
            <w:tcW w:w="0" w:type="auto"/>
            <w:vMerge/>
            <w:vAlign w:val="center"/>
            <w:hideMark/>
          </w:tcPr>
          <w:p w14:paraId="15CE8299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74ED7E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7C04E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4.4.2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95FC1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Apply safe and healthy practices that comply with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 local,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 state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>,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 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and federal 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regulations</w:t>
            </w:r>
            <w:r w:rsidR="006A45F6">
              <w:rPr>
                <w:rFonts w:eastAsia="Times New Roman" w:cs="Arial"/>
                <w:sz w:val="22"/>
                <w:szCs w:val="22"/>
                <w:lang w:bidi="ar-SA"/>
              </w:rPr>
              <w:t xml:space="preserve"> to assure learners' safety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.</w:t>
            </w:r>
          </w:p>
        </w:tc>
      </w:tr>
      <w:tr w:rsidR="009B56B1" w:rsidRPr="0084181C" w14:paraId="24255354" w14:textId="77777777" w:rsidTr="00F00741">
        <w:tc>
          <w:tcPr>
            <w:tcW w:w="0" w:type="auto"/>
            <w:vMerge/>
            <w:vAlign w:val="center"/>
            <w:hideMark/>
          </w:tcPr>
          <w:p w14:paraId="41CD23B8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E010F3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2294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4.4.3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65B9C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Implement strategies to teach health, safety, and sanitation habits.</w:t>
            </w:r>
          </w:p>
        </w:tc>
      </w:tr>
      <w:tr w:rsidR="009B56B1" w:rsidRPr="0084181C" w14:paraId="7C3B7406" w14:textId="77777777" w:rsidTr="00F00741">
        <w:tc>
          <w:tcPr>
            <w:tcW w:w="0" w:type="auto"/>
            <w:vMerge/>
            <w:vAlign w:val="center"/>
            <w:hideMark/>
          </w:tcPr>
          <w:p w14:paraId="46FA8752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262B69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C0DB9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4.4.4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73CFC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Plan safe and healthy meals and snacks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 that meet USDA standards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.</w:t>
            </w:r>
          </w:p>
        </w:tc>
      </w:tr>
      <w:tr w:rsidR="009B56B1" w:rsidRPr="0084181C" w14:paraId="6ECA161D" w14:textId="77777777" w:rsidTr="00F00741">
        <w:tc>
          <w:tcPr>
            <w:tcW w:w="0" w:type="auto"/>
            <w:vMerge/>
            <w:vAlign w:val="center"/>
            <w:hideMark/>
          </w:tcPr>
          <w:p w14:paraId="0FDEFA47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341F13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91F55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4.4.5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3A412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Document symptoms of abuse and neglect and use appropriate procedures to report suspected abuse or neglect to the designated authorities.</w:t>
            </w:r>
          </w:p>
        </w:tc>
      </w:tr>
      <w:tr w:rsidR="009B56B1" w:rsidRPr="0084181C" w14:paraId="3559A2E8" w14:textId="77777777" w:rsidTr="00F00741">
        <w:tc>
          <w:tcPr>
            <w:tcW w:w="0" w:type="auto"/>
            <w:vMerge/>
            <w:vAlign w:val="center"/>
            <w:hideMark/>
          </w:tcPr>
          <w:p w14:paraId="59BF43A1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926350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8B627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4.4.6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0B197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Implement basic health practices and prevention procedures for workers and </w:t>
            </w:r>
            <w:r w:rsidR="006A45F6">
              <w:rPr>
                <w:rFonts w:eastAsia="Times New Roman" w:cs="Arial"/>
                <w:sz w:val="22"/>
                <w:szCs w:val="22"/>
                <w:lang w:bidi="ar-SA"/>
              </w:rPr>
              <w:t>learners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 regarding illness</w:t>
            </w:r>
            <w:r w:rsidR="006A45F6">
              <w:rPr>
                <w:rFonts w:eastAsia="Times New Roman" w:cs="Arial"/>
                <w:sz w:val="22"/>
                <w:szCs w:val="22"/>
                <w:lang w:bidi="ar-SA"/>
              </w:rPr>
              <w:t>,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 communicable diseases</w:t>
            </w:r>
            <w:r w:rsidR="006A45F6">
              <w:rPr>
                <w:rFonts w:eastAsia="Times New Roman" w:cs="Arial"/>
                <w:sz w:val="22"/>
                <w:szCs w:val="22"/>
                <w:lang w:bidi="ar-SA"/>
              </w:rPr>
              <w:t>, accidents and trauma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.</w:t>
            </w:r>
          </w:p>
        </w:tc>
      </w:tr>
      <w:tr w:rsidR="009B56B1" w:rsidRPr="0084181C" w14:paraId="40FD199A" w14:textId="77777777" w:rsidTr="00F00741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B68D6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1A950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95E85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/>
                <w:sz w:val="22"/>
                <w:szCs w:val="22"/>
                <w:lang w:bidi="ar-SA"/>
              </w:rPr>
              <w:t>4.4.7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BE2EB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/>
                <w:sz w:val="22"/>
                <w:szCs w:val="22"/>
                <w:lang w:bidi="ar-SA"/>
              </w:rPr>
              <w:t>Demonstrate security and emergency procedures.</w:t>
            </w:r>
          </w:p>
        </w:tc>
      </w:tr>
      <w:tr w:rsidR="009B56B1" w:rsidRPr="0084181C" w14:paraId="28A6A5E8" w14:textId="77777777" w:rsidTr="00F00741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C06AE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923F7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5A402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19C13" w14:textId="77777777" w:rsidR="009B56B1" w:rsidRDefault="009B56B1" w:rsidP="00F00741">
            <w:pPr>
              <w:rPr>
                <w:rFonts w:eastAsia="Times New Roman" w:cs="Arial"/>
                <w:sz w:val="22"/>
                <w:szCs w:val="22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 </w:t>
            </w:r>
          </w:p>
          <w:p w14:paraId="124D32FD" w14:textId="77777777" w:rsidR="00CD12A0" w:rsidRDefault="00CD12A0" w:rsidP="00F00741">
            <w:pPr>
              <w:rPr>
                <w:rFonts w:eastAsia="Times New Roman" w:cs="Arial"/>
                <w:sz w:val="22"/>
                <w:szCs w:val="22"/>
                <w:lang w:bidi="ar-SA"/>
              </w:rPr>
            </w:pPr>
          </w:p>
          <w:p w14:paraId="36A9BC39" w14:textId="77777777" w:rsidR="00CD12A0" w:rsidRPr="0084181C" w:rsidRDefault="00CD12A0" w:rsidP="00F00741">
            <w:pPr>
              <w:rPr>
                <w:rFonts w:eastAsia="Times New Roman"/>
                <w:lang w:bidi="ar-SA"/>
              </w:rPr>
            </w:pPr>
          </w:p>
        </w:tc>
      </w:tr>
      <w:tr w:rsidR="009B56B1" w:rsidRPr="0084181C" w14:paraId="4BC319E6" w14:textId="77777777" w:rsidTr="00F00741">
        <w:tc>
          <w:tcPr>
            <w:tcW w:w="4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78EE6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lastRenderedPageBreak/>
              <w:t>4.5</w:t>
            </w:r>
          </w:p>
        </w:tc>
        <w:tc>
          <w:tcPr>
            <w:tcW w:w="28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1CA53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Demonstrate skills for building and maintaining 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positive collaborative relationships with children</w:t>
            </w:r>
            <w:r w:rsidR="006A45F6">
              <w:rPr>
                <w:rFonts w:eastAsia="Times New Roman" w:cs="Arial"/>
                <w:sz w:val="22"/>
                <w:szCs w:val="22"/>
                <w:lang w:bidi="ar-SA"/>
              </w:rPr>
              <w:t>,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 youth and</w:t>
            </w:r>
            <w:r w:rsidR="006A45F6">
              <w:rPr>
                <w:rFonts w:eastAsia="Times New Roman" w:cs="Arial"/>
                <w:sz w:val="22"/>
                <w:szCs w:val="22"/>
                <w:lang w:bidi="ar-SA"/>
              </w:rPr>
              <w:t xml:space="preserve"> adults </w:t>
            </w:r>
            <w:r w:rsidR="009F57A0">
              <w:rPr>
                <w:rFonts w:eastAsia="Times New Roman" w:cs="Arial"/>
                <w:sz w:val="22"/>
                <w:szCs w:val="22"/>
                <w:lang w:bidi="ar-SA"/>
              </w:rPr>
              <w:t>in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 their famil</w:t>
            </w:r>
            <w:r w:rsidR="009F57A0">
              <w:rPr>
                <w:rFonts w:eastAsia="Times New Roman" w:cs="Arial"/>
                <w:sz w:val="22"/>
                <w:szCs w:val="22"/>
                <w:lang w:bidi="ar-SA"/>
              </w:rPr>
              <w:t>y and community environment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>s</w:t>
            </w:r>
            <w:r w:rsidR="00704119">
              <w:rPr>
                <w:rFonts w:eastAsia="Times New Roman" w:cs="Arial"/>
                <w:sz w:val="22"/>
                <w:szCs w:val="22"/>
                <w:lang w:bidi="ar-SA"/>
              </w:rPr>
              <w:t>, considering gender, ethnicity, geographical, cultural, and global influences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.</w:t>
            </w: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B918B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4.5.1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B4E99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Apply developmentally appropriate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 and culturally responsive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 guidelines for behavior.</w:t>
            </w:r>
          </w:p>
        </w:tc>
      </w:tr>
      <w:tr w:rsidR="009B56B1" w:rsidRPr="0084181C" w14:paraId="6B3B3962" w14:textId="77777777" w:rsidTr="00F00741">
        <w:tc>
          <w:tcPr>
            <w:tcW w:w="0" w:type="auto"/>
            <w:vMerge/>
            <w:vAlign w:val="center"/>
            <w:hideMark/>
          </w:tcPr>
          <w:p w14:paraId="16C56FFD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65F1D0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A752D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4.5.2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E3D87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Demonstrate problem-solving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 and decision making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 skills 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when working with 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children</w:t>
            </w:r>
            <w:r w:rsidR="006A45F6">
              <w:rPr>
                <w:rFonts w:eastAsia="Times New Roman" w:cs="Arial"/>
                <w:sz w:val="22"/>
                <w:szCs w:val="22"/>
                <w:lang w:bidi="ar-SA"/>
              </w:rPr>
              <w:t>, youth and adults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.</w:t>
            </w:r>
          </w:p>
        </w:tc>
      </w:tr>
      <w:tr w:rsidR="009B56B1" w:rsidRPr="0084181C" w14:paraId="24E334C1" w14:textId="77777777" w:rsidTr="00F00741">
        <w:tc>
          <w:tcPr>
            <w:tcW w:w="0" w:type="auto"/>
            <w:vMerge/>
            <w:vAlign w:val="center"/>
            <w:hideMark/>
          </w:tcPr>
          <w:p w14:paraId="5A156088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252C09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F498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4.5.3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21BDA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Demonstrate interpersonal skills that promote positive and productive relationships with </w:t>
            </w:r>
            <w:r w:rsidR="006A45F6">
              <w:rPr>
                <w:rFonts w:eastAsia="Times New Roman" w:cs="Arial"/>
                <w:sz w:val="22"/>
                <w:szCs w:val="22"/>
                <w:lang w:bidi="ar-SA"/>
              </w:rPr>
              <w:t>learners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.</w:t>
            </w:r>
          </w:p>
        </w:tc>
      </w:tr>
      <w:tr w:rsidR="009B56B1" w:rsidRPr="0084181C" w14:paraId="12BC0AF5" w14:textId="77777777" w:rsidTr="00F00741">
        <w:tc>
          <w:tcPr>
            <w:tcW w:w="0" w:type="auto"/>
            <w:vMerge/>
            <w:vAlign w:val="center"/>
            <w:hideMark/>
          </w:tcPr>
          <w:p w14:paraId="3B6B94EF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3D7B97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B1B16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4.5.4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ADC8E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Implement strategies for constructive and supportive interactions between children</w:t>
            </w:r>
            <w:r w:rsidR="00CC7781">
              <w:rPr>
                <w:rFonts w:eastAsia="Times New Roman" w:cs="Arial"/>
                <w:sz w:val="22"/>
                <w:szCs w:val="22"/>
                <w:lang w:bidi="ar-SA"/>
              </w:rPr>
              <w:t>, youth and adults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 and </w:t>
            </w:r>
            <w:r w:rsidR="00CC7781">
              <w:rPr>
                <w:rFonts w:eastAsia="Times New Roman" w:cs="Arial"/>
                <w:sz w:val="22"/>
                <w:szCs w:val="22"/>
                <w:lang w:bidi="ar-SA"/>
              </w:rPr>
              <w:t xml:space="preserve">their 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families</w:t>
            </w:r>
            <w:r w:rsidR="009F57A0">
              <w:rPr>
                <w:rFonts w:eastAsia="Times New Roman" w:cs="Arial"/>
                <w:sz w:val="22"/>
                <w:szCs w:val="22"/>
                <w:lang w:bidi="ar-SA"/>
              </w:rPr>
              <w:t xml:space="preserve"> and communities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.</w:t>
            </w:r>
          </w:p>
        </w:tc>
      </w:tr>
      <w:tr w:rsidR="009B56B1" w:rsidRPr="0084181C" w14:paraId="4737CF01" w14:textId="77777777" w:rsidTr="00F00741">
        <w:tc>
          <w:tcPr>
            <w:tcW w:w="0" w:type="auto"/>
            <w:vMerge/>
            <w:vAlign w:val="center"/>
            <w:hideMark/>
          </w:tcPr>
          <w:p w14:paraId="52FD0489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A3EA10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75009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4.5.5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65C82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Analyze </w:t>
            </w:r>
            <w:r w:rsidR="00CC7781">
              <w:rPr>
                <w:rFonts w:eastAsia="Times New Roman" w:cs="Arial"/>
                <w:sz w:val="22"/>
                <w:szCs w:val="22"/>
                <w:lang w:bidi="ar-SA"/>
              </w:rPr>
              <w:t>learners'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 developmental progress and summarize developmental issues and concerns.</w:t>
            </w:r>
          </w:p>
        </w:tc>
      </w:tr>
      <w:tr w:rsidR="009B56B1" w:rsidRPr="0084181C" w14:paraId="629CCA57" w14:textId="77777777" w:rsidTr="00F00741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D22CB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C9FE2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E8EA6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33F36" w14:textId="77777777" w:rsidR="009B56B1" w:rsidRPr="0084181C" w:rsidRDefault="009B56B1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 </w:t>
            </w:r>
          </w:p>
        </w:tc>
      </w:tr>
      <w:tr w:rsidR="0075485B" w:rsidRPr="0084181C" w14:paraId="432B48F4" w14:textId="77777777" w:rsidTr="00F00741">
        <w:tc>
          <w:tcPr>
            <w:tcW w:w="4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B4FA3" w14:textId="77777777" w:rsidR="0075485B" w:rsidRPr="0084181C" w:rsidRDefault="0075485B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4.6</w:t>
            </w:r>
          </w:p>
        </w:tc>
        <w:tc>
          <w:tcPr>
            <w:tcW w:w="28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AE680" w14:textId="77777777" w:rsidR="0075485B" w:rsidRPr="0084181C" w:rsidRDefault="0075485B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Demonstrate professional practices and standards related to working with children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>, youth and adults</w:t>
            </w:r>
            <w:r w:rsidR="00B16FF6">
              <w:rPr>
                <w:rFonts w:eastAsia="Times New Roman" w:cs="Arial"/>
                <w:sz w:val="22"/>
                <w:szCs w:val="22"/>
                <w:lang w:bidi="ar-SA"/>
              </w:rPr>
              <w:t>, including diverse populations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.</w:t>
            </w: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97E84" w14:textId="77777777" w:rsidR="0075485B" w:rsidRPr="0084181C" w:rsidRDefault="0075485B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4.6.1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4266" w14:textId="77777777" w:rsidR="0075485B" w:rsidRPr="0084181C" w:rsidRDefault="0075485B" w:rsidP="00F00741">
            <w:pPr>
              <w:rPr>
                <w:rFonts w:eastAsia="Times New Roman"/>
                <w:lang w:bidi="ar-SA"/>
              </w:rPr>
            </w:pP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Explore opportunities 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for continuing training and education.</w:t>
            </w:r>
          </w:p>
        </w:tc>
      </w:tr>
      <w:tr w:rsidR="0075485B" w:rsidRPr="0084181C" w14:paraId="2C333926" w14:textId="77777777" w:rsidTr="00F00741">
        <w:tc>
          <w:tcPr>
            <w:tcW w:w="0" w:type="auto"/>
            <w:vMerge/>
            <w:vAlign w:val="center"/>
            <w:hideMark/>
          </w:tcPr>
          <w:p w14:paraId="6E9A82E4" w14:textId="77777777" w:rsidR="0075485B" w:rsidRPr="0084181C" w:rsidRDefault="0075485B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9C6542" w14:textId="77777777" w:rsidR="0075485B" w:rsidRPr="0084181C" w:rsidRDefault="0075485B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55557" w14:textId="77777777" w:rsidR="0075485B" w:rsidRPr="0084181C" w:rsidRDefault="0075485B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4.6.2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7C592" w14:textId="77777777" w:rsidR="0075485B" w:rsidRPr="0084181C" w:rsidRDefault="0075485B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Apply professional ethical standards as accepted by the recognized professional organizations.</w:t>
            </w:r>
          </w:p>
        </w:tc>
      </w:tr>
      <w:tr w:rsidR="0075485B" w:rsidRPr="0084181C" w14:paraId="74A319B1" w14:textId="77777777" w:rsidTr="00F00741">
        <w:tc>
          <w:tcPr>
            <w:tcW w:w="0" w:type="auto"/>
            <w:vMerge/>
            <w:vAlign w:val="center"/>
            <w:hideMark/>
          </w:tcPr>
          <w:p w14:paraId="442428BE" w14:textId="77777777" w:rsidR="0075485B" w:rsidRPr="0084181C" w:rsidRDefault="0075485B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3BD4DE" w14:textId="77777777" w:rsidR="0075485B" w:rsidRPr="0084181C" w:rsidRDefault="0075485B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22C4E" w14:textId="77777777" w:rsidR="0075485B" w:rsidRPr="0084181C" w:rsidRDefault="0075485B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4.6.3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A7623" w14:textId="77777777" w:rsidR="0075485B" w:rsidRPr="0084181C" w:rsidRDefault="0075485B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Implement federal, state, and local standards, policies, regulations, and laws that affect programs 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 xml:space="preserve">for 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 xml:space="preserve">children, </w:t>
            </w:r>
            <w:r>
              <w:rPr>
                <w:rFonts w:eastAsia="Times New Roman" w:cs="Arial"/>
                <w:sz w:val="22"/>
                <w:szCs w:val="22"/>
                <w:lang w:bidi="ar-SA"/>
              </w:rPr>
              <w:t>youth and adults and their families</w:t>
            </w: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.</w:t>
            </w:r>
          </w:p>
        </w:tc>
      </w:tr>
      <w:tr w:rsidR="0075485B" w:rsidRPr="0084181C" w14:paraId="4E792188" w14:textId="77777777" w:rsidTr="00F00741">
        <w:tc>
          <w:tcPr>
            <w:tcW w:w="0" w:type="auto"/>
            <w:vMerge/>
            <w:vAlign w:val="center"/>
            <w:hideMark/>
          </w:tcPr>
          <w:p w14:paraId="301D9A9B" w14:textId="77777777" w:rsidR="0075485B" w:rsidRPr="0084181C" w:rsidRDefault="0075485B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C0F729" w14:textId="77777777" w:rsidR="0075485B" w:rsidRPr="0084181C" w:rsidRDefault="0075485B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6CB57" w14:textId="77777777" w:rsidR="0075485B" w:rsidRPr="0084181C" w:rsidRDefault="0075485B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4.6.4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3B4BA" w14:textId="77777777" w:rsidR="0075485B" w:rsidRPr="0084181C" w:rsidRDefault="0075485B" w:rsidP="00F00741">
            <w:pPr>
              <w:rPr>
                <w:rFonts w:eastAsia="Times New Roman"/>
                <w:lang w:bidi="ar-SA"/>
              </w:rPr>
            </w:pPr>
            <w:r w:rsidRPr="0084181C">
              <w:rPr>
                <w:rFonts w:eastAsia="Times New Roman" w:cs="Arial"/>
                <w:sz w:val="22"/>
                <w:szCs w:val="22"/>
                <w:lang w:bidi="ar-SA"/>
              </w:rPr>
              <w:t>Demonstrate enthusiasm, initiative, and commitment to program goals and improvements.</w:t>
            </w:r>
          </w:p>
        </w:tc>
      </w:tr>
      <w:tr w:rsidR="0075485B" w:rsidRPr="00E61472" w14:paraId="296BAB11" w14:textId="77777777" w:rsidTr="0075485B">
        <w:trPr>
          <w:trHeight w:val="246"/>
        </w:trPr>
        <w:tc>
          <w:tcPr>
            <w:tcW w:w="0" w:type="auto"/>
            <w:vMerge/>
            <w:vAlign w:val="center"/>
            <w:hideMark/>
          </w:tcPr>
          <w:p w14:paraId="18082FB5" w14:textId="77777777" w:rsidR="0075485B" w:rsidRPr="0084181C" w:rsidRDefault="0075485B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1AE94E" w14:textId="77777777" w:rsidR="0075485B" w:rsidRPr="0084181C" w:rsidRDefault="0075485B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511CD" w14:textId="77777777" w:rsidR="0075485B" w:rsidRPr="00E61472" w:rsidRDefault="0075485B" w:rsidP="00F00741">
            <w:pPr>
              <w:rPr>
                <w:rFonts w:eastAsia="Times New Roman"/>
                <w:lang w:bidi="ar-SA"/>
              </w:rPr>
            </w:pPr>
            <w:r w:rsidRPr="00E61472">
              <w:rPr>
                <w:rFonts w:eastAsia="Times New Roman" w:cs="Arial"/>
                <w:sz w:val="22"/>
                <w:szCs w:val="22"/>
                <w:lang w:bidi="ar-SA"/>
              </w:rPr>
              <w:t>4.6.5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8D5B8" w14:textId="77777777" w:rsidR="0075485B" w:rsidRPr="00E61472" w:rsidRDefault="0075485B" w:rsidP="00F00741">
            <w:pPr>
              <w:rPr>
                <w:rFonts w:eastAsia="Times New Roman"/>
                <w:lang w:bidi="ar-SA"/>
              </w:rPr>
            </w:pPr>
            <w:r w:rsidRPr="00E61472">
              <w:rPr>
                <w:rFonts w:eastAsia="Times New Roman" w:cs="Arial"/>
                <w:sz w:val="22"/>
                <w:szCs w:val="22"/>
                <w:lang w:bidi="ar-SA"/>
              </w:rPr>
              <w:t>Examine entrepreneurial and management skills to planning businesses in early childhood, education, and services.</w:t>
            </w:r>
          </w:p>
        </w:tc>
      </w:tr>
      <w:tr w:rsidR="0075485B" w:rsidRPr="00E61472" w14:paraId="749B253D" w14:textId="77777777" w:rsidTr="00F00741">
        <w:trPr>
          <w:trHeight w:val="246"/>
        </w:trPr>
        <w:tc>
          <w:tcPr>
            <w:tcW w:w="0" w:type="auto"/>
            <w:vMerge/>
            <w:vAlign w:val="center"/>
          </w:tcPr>
          <w:p w14:paraId="228E7FFF" w14:textId="77777777" w:rsidR="0075485B" w:rsidRPr="0084181C" w:rsidRDefault="0075485B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</w:tcPr>
          <w:p w14:paraId="4FD124CA" w14:textId="77777777" w:rsidR="0075485B" w:rsidRPr="0084181C" w:rsidRDefault="0075485B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3A58" w14:textId="77777777" w:rsidR="0075485B" w:rsidRPr="00E61472" w:rsidRDefault="0075485B" w:rsidP="00F00741">
            <w:pPr>
              <w:rPr>
                <w:rFonts w:eastAsia="Times New Roman" w:cs="Arial"/>
                <w:sz w:val="22"/>
                <w:szCs w:val="22"/>
                <w:lang w:bidi="ar-SA"/>
              </w:rPr>
            </w:pPr>
            <w:r>
              <w:rPr>
                <w:rFonts w:eastAsia="Times New Roman" w:cs="Arial"/>
                <w:sz w:val="22"/>
                <w:szCs w:val="22"/>
                <w:lang w:bidi="ar-SA"/>
              </w:rPr>
              <w:t>4.6.6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3F718" w14:textId="77777777" w:rsidR="0075485B" w:rsidRPr="00E61472" w:rsidRDefault="0075485B" w:rsidP="00F00741">
            <w:pPr>
              <w:rPr>
                <w:rFonts w:eastAsia="Times New Roman" w:cs="Arial"/>
                <w:sz w:val="22"/>
                <w:szCs w:val="22"/>
                <w:lang w:bidi="ar-SA"/>
              </w:rPr>
            </w:pPr>
            <w:r w:rsidRPr="00915AB2">
              <w:rPr>
                <w:rFonts w:eastAsia="Times New Roman"/>
                <w:sz w:val="22"/>
                <w:szCs w:val="22"/>
                <w:lang w:bidi="ar-SA"/>
              </w:rPr>
              <w:t xml:space="preserve">Identify ways </w:t>
            </w:r>
            <w:r>
              <w:rPr>
                <w:rFonts w:eastAsia="Times New Roman"/>
                <w:sz w:val="22"/>
                <w:szCs w:val="22"/>
                <w:lang w:bidi="ar-SA"/>
              </w:rPr>
              <w:t>educators</w:t>
            </w:r>
            <w:r w:rsidRPr="00915AB2">
              <w:rPr>
                <w:rFonts w:eastAsia="Times New Roman"/>
                <w:sz w:val="22"/>
                <w:szCs w:val="22"/>
                <w:lang w:bidi="ar-SA"/>
              </w:rPr>
              <w:t xml:space="preserve"> can </w:t>
            </w:r>
            <w:r>
              <w:rPr>
                <w:rFonts w:eastAsia="Times New Roman"/>
                <w:sz w:val="22"/>
                <w:szCs w:val="22"/>
                <w:lang w:bidi="ar-SA"/>
              </w:rPr>
              <w:t xml:space="preserve">advocate to </w:t>
            </w:r>
            <w:r w:rsidRPr="00915AB2">
              <w:rPr>
                <w:rFonts w:eastAsia="Times New Roman"/>
                <w:sz w:val="22"/>
                <w:szCs w:val="22"/>
                <w:lang w:bidi="ar-SA"/>
              </w:rPr>
              <w:t xml:space="preserve">influence policies, agencies, and institutions </w:t>
            </w:r>
            <w:r>
              <w:rPr>
                <w:rFonts w:eastAsia="Times New Roman"/>
                <w:sz w:val="22"/>
                <w:szCs w:val="22"/>
                <w:lang w:bidi="ar-SA"/>
              </w:rPr>
              <w:t>for the benefit of children, youth and adults and their families.</w:t>
            </w:r>
          </w:p>
        </w:tc>
      </w:tr>
      <w:tr w:rsidR="0075485B" w:rsidRPr="00E61472" w14:paraId="19EABDBE" w14:textId="77777777" w:rsidTr="00F00741">
        <w:trPr>
          <w:trHeight w:val="246"/>
        </w:trPr>
        <w:tc>
          <w:tcPr>
            <w:tcW w:w="0" w:type="auto"/>
            <w:vMerge/>
            <w:vAlign w:val="center"/>
          </w:tcPr>
          <w:p w14:paraId="7EF086F9" w14:textId="77777777" w:rsidR="0075485B" w:rsidRPr="0084181C" w:rsidRDefault="0075485B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0" w:type="auto"/>
            <w:vMerge/>
            <w:vAlign w:val="center"/>
          </w:tcPr>
          <w:p w14:paraId="6C76FB5C" w14:textId="77777777" w:rsidR="0075485B" w:rsidRPr="0084181C" w:rsidRDefault="0075485B" w:rsidP="00F00741">
            <w:pPr>
              <w:rPr>
                <w:rFonts w:eastAsia="Times New Roman"/>
                <w:lang w:bidi="ar-SA"/>
              </w:rPr>
            </w:pPr>
          </w:p>
        </w:tc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F0D5" w14:textId="77777777" w:rsidR="0075485B" w:rsidRPr="00E61472" w:rsidRDefault="0075485B" w:rsidP="00F00741">
            <w:pPr>
              <w:rPr>
                <w:rFonts w:eastAsia="Times New Roman" w:cs="Arial"/>
                <w:sz w:val="22"/>
                <w:szCs w:val="22"/>
                <w:lang w:bidi="ar-SA"/>
              </w:rPr>
            </w:pP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F153" w14:textId="77777777" w:rsidR="0075485B" w:rsidRPr="00E61472" w:rsidRDefault="0075485B" w:rsidP="00F00741">
            <w:pPr>
              <w:rPr>
                <w:rFonts w:eastAsia="Times New Roman" w:cs="Arial"/>
                <w:sz w:val="22"/>
                <w:szCs w:val="22"/>
                <w:lang w:bidi="ar-SA"/>
              </w:rPr>
            </w:pPr>
          </w:p>
        </w:tc>
      </w:tr>
    </w:tbl>
    <w:p w14:paraId="5D7DEB87" w14:textId="77777777" w:rsidR="009B56B1" w:rsidRDefault="009B56B1" w:rsidP="009B56B1"/>
    <w:sectPr w:rsidR="009B56B1" w:rsidSect="004E3EB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A9D68" w14:textId="77777777" w:rsidR="007E2038" w:rsidRDefault="007E2038" w:rsidP="00CC7781">
      <w:r>
        <w:separator/>
      </w:r>
    </w:p>
  </w:endnote>
  <w:endnote w:type="continuationSeparator" w:id="0">
    <w:p w14:paraId="3123FC33" w14:textId="77777777" w:rsidR="007E2038" w:rsidRDefault="007E2038" w:rsidP="00CC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01221" w14:textId="77777777" w:rsidR="000F6BA7" w:rsidRDefault="000F6BA7" w:rsidP="00CC7781">
    <w:pPr>
      <w:pStyle w:val="Footer"/>
      <w:pBdr>
        <w:top w:val="single" w:sz="4" w:space="1" w:color="auto"/>
      </w:pBdr>
      <w:jc w:val="center"/>
      <w:rPr>
        <w:sz w:val="22"/>
        <w:szCs w:val="22"/>
      </w:rPr>
    </w:pPr>
    <w:r>
      <w:rPr>
        <w:sz w:val="22"/>
        <w:szCs w:val="22"/>
      </w:rPr>
      <w:t>FCS National Standards 3.0 (NASAFACS 2018)</w:t>
    </w:r>
  </w:p>
  <w:p w14:paraId="38E448F1" w14:textId="5659D29D" w:rsidR="00CC7781" w:rsidRPr="00CC7781" w:rsidRDefault="00CC7781" w:rsidP="00CC7781">
    <w:pPr>
      <w:pStyle w:val="Footer"/>
      <w:pBdr>
        <w:top w:val="single" w:sz="4" w:space="1" w:color="auto"/>
      </w:pBdr>
      <w:jc w:val="center"/>
    </w:pPr>
    <w:r w:rsidRPr="00BE2588">
      <w:rPr>
        <w:sz w:val="22"/>
        <w:szCs w:val="22"/>
      </w:rPr>
      <w:t xml:space="preserve">Area of Study </w:t>
    </w:r>
    <w:r>
      <w:rPr>
        <w:sz w:val="22"/>
        <w:szCs w:val="22"/>
      </w:rPr>
      <w:t>2</w:t>
    </w:r>
    <w:r w:rsidRPr="00BE2588">
      <w:rPr>
        <w:sz w:val="22"/>
        <w:szCs w:val="22"/>
      </w:rPr>
      <w:t xml:space="preserve"> </w:t>
    </w:r>
    <w:r>
      <w:rPr>
        <w:sz w:val="22"/>
        <w:szCs w:val="22"/>
      </w:rPr>
      <w:t>Consumer and Family Resources</w:t>
    </w:r>
    <w:r w:rsidRPr="00BE2588">
      <w:rPr>
        <w:sz w:val="22"/>
        <w:szCs w:val="22"/>
      </w:rPr>
      <w:t xml:space="preserve">, </w:t>
    </w:r>
    <w:r w:rsidR="008B17FE">
      <w:rPr>
        <w:sz w:val="22"/>
        <w:szCs w:val="22"/>
      </w:rPr>
      <w:t>June</w:t>
    </w:r>
    <w:r w:rsidRPr="00BE2588">
      <w:rPr>
        <w:sz w:val="22"/>
        <w:szCs w:val="22"/>
      </w:rPr>
      <w:t xml:space="preserve"> </w:t>
    </w:r>
    <w:r w:rsidR="00FF0F87">
      <w:rPr>
        <w:sz w:val="22"/>
        <w:szCs w:val="22"/>
      </w:rPr>
      <w:t>9</w:t>
    </w:r>
    <w:r w:rsidRPr="00BE2588">
      <w:rPr>
        <w:sz w:val="22"/>
        <w:szCs w:val="22"/>
      </w:rPr>
      <w:t xml:space="preserve">, 2017, </w:t>
    </w:r>
    <w:r w:rsidRPr="00BE2588">
      <w:rPr>
        <w:i/>
        <w:sz w:val="22"/>
        <w:szCs w:val="22"/>
      </w:rPr>
      <w:t xml:space="preserve">page </w:t>
    </w:r>
    <w:r w:rsidRPr="00BE2588">
      <w:rPr>
        <w:bCs/>
        <w:i/>
        <w:sz w:val="22"/>
        <w:szCs w:val="22"/>
      </w:rPr>
      <w:fldChar w:fldCharType="begin"/>
    </w:r>
    <w:r w:rsidRPr="00BE2588">
      <w:rPr>
        <w:bCs/>
        <w:i/>
        <w:sz w:val="22"/>
        <w:szCs w:val="22"/>
      </w:rPr>
      <w:instrText xml:space="preserve"> PAGE  \* Arabic  \* MERGEFORMAT </w:instrText>
    </w:r>
    <w:r w:rsidRPr="00BE2588">
      <w:rPr>
        <w:bCs/>
        <w:i/>
        <w:sz w:val="22"/>
        <w:szCs w:val="22"/>
      </w:rPr>
      <w:fldChar w:fldCharType="separate"/>
    </w:r>
    <w:r w:rsidR="00054698">
      <w:rPr>
        <w:bCs/>
        <w:i/>
        <w:noProof/>
        <w:sz w:val="22"/>
        <w:szCs w:val="22"/>
      </w:rPr>
      <w:t>1</w:t>
    </w:r>
    <w:r w:rsidRPr="00BE2588">
      <w:rPr>
        <w:bCs/>
        <w:i/>
        <w:sz w:val="22"/>
        <w:szCs w:val="22"/>
      </w:rPr>
      <w:fldChar w:fldCharType="end"/>
    </w:r>
    <w:r w:rsidRPr="00BE2588">
      <w:rPr>
        <w:i/>
        <w:sz w:val="22"/>
        <w:szCs w:val="22"/>
      </w:rPr>
      <w:t xml:space="preserve"> of </w:t>
    </w:r>
    <w:r w:rsidRPr="00BE2588">
      <w:rPr>
        <w:bCs/>
        <w:i/>
        <w:sz w:val="22"/>
        <w:szCs w:val="22"/>
      </w:rPr>
      <w:fldChar w:fldCharType="begin"/>
    </w:r>
    <w:r w:rsidRPr="00BE2588">
      <w:rPr>
        <w:bCs/>
        <w:i/>
        <w:sz w:val="22"/>
        <w:szCs w:val="22"/>
      </w:rPr>
      <w:instrText xml:space="preserve"> NUMPAGES  \* Arabic  \* MERGEFORMAT </w:instrText>
    </w:r>
    <w:r w:rsidRPr="00BE2588">
      <w:rPr>
        <w:bCs/>
        <w:i/>
        <w:sz w:val="22"/>
        <w:szCs w:val="22"/>
      </w:rPr>
      <w:fldChar w:fldCharType="separate"/>
    </w:r>
    <w:r w:rsidR="00054698">
      <w:rPr>
        <w:bCs/>
        <w:i/>
        <w:noProof/>
        <w:sz w:val="22"/>
        <w:szCs w:val="22"/>
      </w:rPr>
      <w:t>3</w:t>
    </w:r>
    <w:r w:rsidRPr="00BE2588">
      <w:rPr>
        <w:bCs/>
        <w:i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B32BC" w14:textId="77777777" w:rsidR="007E2038" w:rsidRDefault="007E2038" w:rsidP="00CC7781">
      <w:r>
        <w:separator/>
      </w:r>
    </w:p>
  </w:footnote>
  <w:footnote w:type="continuationSeparator" w:id="0">
    <w:p w14:paraId="03E2DA92" w14:textId="77777777" w:rsidR="007E2038" w:rsidRDefault="007E2038" w:rsidP="00CC7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B2740"/>
    <w:multiLevelType w:val="hybridMultilevel"/>
    <w:tmpl w:val="86C6E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55"/>
    <w:rsid w:val="000078BF"/>
    <w:rsid w:val="00032F48"/>
    <w:rsid w:val="00054698"/>
    <w:rsid w:val="000B7190"/>
    <w:rsid w:val="000E0C68"/>
    <w:rsid w:val="000F6982"/>
    <w:rsid w:val="000F6BA7"/>
    <w:rsid w:val="001277BC"/>
    <w:rsid w:val="00172270"/>
    <w:rsid w:val="001F7EB9"/>
    <w:rsid w:val="00280B60"/>
    <w:rsid w:val="004A1232"/>
    <w:rsid w:val="004B7CB3"/>
    <w:rsid w:val="004E3EBB"/>
    <w:rsid w:val="00511E50"/>
    <w:rsid w:val="00531EB2"/>
    <w:rsid w:val="005D3DA1"/>
    <w:rsid w:val="005D6679"/>
    <w:rsid w:val="0061199B"/>
    <w:rsid w:val="006A45F6"/>
    <w:rsid w:val="00704119"/>
    <w:rsid w:val="00723318"/>
    <w:rsid w:val="00735AD3"/>
    <w:rsid w:val="00753A55"/>
    <w:rsid w:val="0075485B"/>
    <w:rsid w:val="00761027"/>
    <w:rsid w:val="007B190B"/>
    <w:rsid w:val="007E2038"/>
    <w:rsid w:val="00830B36"/>
    <w:rsid w:val="00835BB1"/>
    <w:rsid w:val="0084181C"/>
    <w:rsid w:val="008B17FE"/>
    <w:rsid w:val="0099278C"/>
    <w:rsid w:val="009B56B1"/>
    <w:rsid w:val="009F57A0"/>
    <w:rsid w:val="00A02713"/>
    <w:rsid w:val="00A35E2B"/>
    <w:rsid w:val="00A374EF"/>
    <w:rsid w:val="00A63B51"/>
    <w:rsid w:val="00A945DE"/>
    <w:rsid w:val="00B16FF6"/>
    <w:rsid w:val="00BA652F"/>
    <w:rsid w:val="00BF016C"/>
    <w:rsid w:val="00CB4855"/>
    <w:rsid w:val="00CB4D1D"/>
    <w:rsid w:val="00CC7781"/>
    <w:rsid w:val="00CD12A0"/>
    <w:rsid w:val="00D01E83"/>
    <w:rsid w:val="00D362F2"/>
    <w:rsid w:val="00DB3E5D"/>
    <w:rsid w:val="00DD07FF"/>
    <w:rsid w:val="00E00FCC"/>
    <w:rsid w:val="00E1585C"/>
    <w:rsid w:val="00E2316B"/>
    <w:rsid w:val="00E577C5"/>
    <w:rsid w:val="00E61472"/>
    <w:rsid w:val="00FC0730"/>
    <w:rsid w:val="00FE1DDF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F950"/>
  <w15:chartTrackingRefBased/>
  <w15:docId w15:val="{1C63D49E-CBD2-438D-9663-21860351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DA1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D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DA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D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D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D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DA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DA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DA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DA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D3DA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D3D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D3D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D3DA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D3DA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D3DA1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5D3DA1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D3DA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D3DA1"/>
    <w:rPr>
      <w:rFonts w:ascii="Cambria" w:eastAsia="Times New Roman" w:hAnsi="Cambr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D3D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D3DA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DA1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5D3DA1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5D3DA1"/>
    <w:rPr>
      <w:b/>
      <w:bCs/>
    </w:rPr>
  </w:style>
  <w:style w:type="character" w:styleId="Emphasis">
    <w:name w:val="Emphasis"/>
    <w:uiPriority w:val="20"/>
    <w:qFormat/>
    <w:rsid w:val="005D3DA1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D3DA1"/>
    <w:rPr>
      <w:szCs w:val="32"/>
    </w:rPr>
  </w:style>
  <w:style w:type="character" w:customStyle="1" w:styleId="NoSpacingChar">
    <w:name w:val="No Spacing Char"/>
    <w:link w:val="NoSpacing"/>
    <w:uiPriority w:val="1"/>
    <w:rsid w:val="005D3DA1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5D3D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3DA1"/>
    <w:rPr>
      <w:i/>
    </w:rPr>
  </w:style>
  <w:style w:type="character" w:customStyle="1" w:styleId="QuoteChar">
    <w:name w:val="Quote Char"/>
    <w:link w:val="Quote"/>
    <w:uiPriority w:val="29"/>
    <w:rsid w:val="005D3DA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DA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D3DA1"/>
    <w:rPr>
      <w:b/>
      <w:i/>
      <w:sz w:val="24"/>
    </w:rPr>
  </w:style>
  <w:style w:type="character" w:styleId="SubtleEmphasis">
    <w:name w:val="Subtle Emphasis"/>
    <w:uiPriority w:val="19"/>
    <w:qFormat/>
    <w:rsid w:val="005D3DA1"/>
    <w:rPr>
      <w:i/>
      <w:color w:val="5A5A5A"/>
    </w:rPr>
  </w:style>
  <w:style w:type="character" w:styleId="IntenseEmphasis">
    <w:name w:val="Intense Emphasis"/>
    <w:uiPriority w:val="21"/>
    <w:qFormat/>
    <w:rsid w:val="005D3DA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D3DA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D3DA1"/>
    <w:rPr>
      <w:b/>
      <w:sz w:val="24"/>
      <w:u w:val="single"/>
    </w:rPr>
  </w:style>
  <w:style w:type="character" w:styleId="BookTitle">
    <w:name w:val="Book Title"/>
    <w:uiPriority w:val="33"/>
    <w:qFormat/>
    <w:rsid w:val="005D3DA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3DA1"/>
    <w:pPr>
      <w:outlineLvl w:val="9"/>
    </w:pPr>
  </w:style>
  <w:style w:type="character" w:customStyle="1" w:styleId="style20">
    <w:name w:val="style20"/>
    <w:basedOn w:val="DefaultParagraphFont"/>
    <w:rsid w:val="00CB4855"/>
  </w:style>
  <w:style w:type="character" w:customStyle="1" w:styleId="style27">
    <w:name w:val="style27"/>
    <w:basedOn w:val="DefaultParagraphFont"/>
    <w:rsid w:val="00CB4855"/>
  </w:style>
  <w:style w:type="paragraph" w:styleId="BalloonText">
    <w:name w:val="Balloon Text"/>
    <w:basedOn w:val="Normal"/>
    <w:link w:val="BalloonTextChar"/>
    <w:uiPriority w:val="99"/>
    <w:semiHidden/>
    <w:unhideWhenUsed/>
    <w:rsid w:val="00511E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1E50"/>
    <w:rPr>
      <w:rFonts w:ascii="Segoe UI" w:hAnsi="Segoe UI" w:cs="Segoe UI"/>
      <w:sz w:val="18"/>
      <w:szCs w:val="18"/>
      <w:lang w:bidi="en-US"/>
    </w:rPr>
  </w:style>
  <w:style w:type="character" w:styleId="CommentReference">
    <w:name w:val="annotation reference"/>
    <w:uiPriority w:val="99"/>
    <w:semiHidden/>
    <w:unhideWhenUsed/>
    <w:rsid w:val="00D01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E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1E83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E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1E83"/>
    <w:rPr>
      <w:b/>
      <w:bCs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781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781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Wild</dc:creator>
  <cp:keywords/>
  <cp:lastModifiedBy>Shannon Johnson</cp:lastModifiedBy>
  <cp:revision>2</cp:revision>
  <cp:lastPrinted>2017-06-12T22:08:00Z</cp:lastPrinted>
  <dcterms:created xsi:type="dcterms:W3CDTF">2018-07-30T17:29:00Z</dcterms:created>
  <dcterms:modified xsi:type="dcterms:W3CDTF">2018-07-30T17:29:00Z</dcterms:modified>
</cp:coreProperties>
</file>