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86AE3" w14:textId="77777777" w:rsidR="001A4AE9" w:rsidRDefault="001A4AE9" w:rsidP="00353498">
      <w:pPr>
        <w:pStyle w:val="Title"/>
      </w:pPr>
      <w:bookmarkStart w:id="0" w:name="_Toc495335815"/>
      <w:bookmarkStart w:id="1" w:name="_Toc495335924"/>
      <w:bookmarkStart w:id="2" w:name="_GoBack"/>
      <w:bookmarkEnd w:id="2"/>
      <w:r>
        <w:rPr>
          <w:noProof/>
        </w:rPr>
        <w:drawing>
          <wp:anchor distT="0" distB="0" distL="114300" distR="114300" simplePos="0" relativeHeight="251661312" behindDoc="1" locked="0" layoutInCell="1" allowOverlap="1" wp14:anchorId="4DA1426D" wp14:editId="3E7E3C05">
            <wp:simplePos x="0" y="0"/>
            <wp:positionH relativeFrom="page">
              <wp:align>left</wp:align>
            </wp:positionH>
            <wp:positionV relativeFrom="paragraph">
              <wp:posOffset>-916940</wp:posOffset>
            </wp:positionV>
            <wp:extent cx="7810500" cy="242576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dership program header_L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0" cy="2425761"/>
                    </a:xfrm>
                    <a:prstGeom prst="rect">
                      <a:avLst/>
                    </a:prstGeom>
                  </pic:spPr>
                </pic:pic>
              </a:graphicData>
            </a:graphic>
          </wp:anchor>
        </w:drawing>
      </w:r>
    </w:p>
    <w:p w14:paraId="6E69883D" w14:textId="77777777" w:rsidR="001A4AE9" w:rsidRDefault="001A4AE9" w:rsidP="00353498">
      <w:pPr>
        <w:pStyle w:val="Title"/>
      </w:pPr>
    </w:p>
    <w:p w14:paraId="619C7D13" w14:textId="77777777" w:rsidR="001A4AE9" w:rsidRDefault="001A4AE9" w:rsidP="00353498">
      <w:pPr>
        <w:pStyle w:val="Title"/>
      </w:pPr>
    </w:p>
    <w:p w14:paraId="4B7737EA" w14:textId="77777777" w:rsidR="001A4AE9" w:rsidRDefault="001A4AE9" w:rsidP="00353498"/>
    <w:p w14:paraId="37A8E912" w14:textId="77777777" w:rsidR="001A4AE9" w:rsidRDefault="001A4AE9" w:rsidP="00353498"/>
    <w:p w14:paraId="660221F1" w14:textId="77777777" w:rsidR="001A4AE9" w:rsidRDefault="001A4AE9" w:rsidP="00353498"/>
    <w:p w14:paraId="7ADD028C" w14:textId="77777777" w:rsidR="001A4AE9" w:rsidRDefault="001A4AE9" w:rsidP="00353498"/>
    <w:bookmarkEnd w:id="0"/>
    <w:bookmarkEnd w:id="1"/>
    <w:p w14:paraId="0BB7B990" w14:textId="77777777" w:rsidR="001A4AE9" w:rsidRPr="00BB7695" w:rsidRDefault="001A4AE9" w:rsidP="00353498">
      <w:pPr>
        <w:jc w:val="center"/>
        <w:rPr>
          <w:b/>
          <w:color w:val="009AA6"/>
          <w:sz w:val="52"/>
        </w:rPr>
      </w:pPr>
      <w:r w:rsidRPr="00BB7695">
        <w:rPr>
          <w:b/>
          <w:color w:val="009AA6"/>
          <w:sz w:val="52"/>
        </w:rPr>
        <w:t xml:space="preserve">Module </w:t>
      </w:r>
      <w:r w:rsidR="00BB7695" w:rsidRPr="00BB7695">
        <w:rPr>
          <w:b/>
          <w:color w:val="009AA6"/>
          <w:sz w:val="52"/>
        </w:rPr>
        <w:t>3</w:t>
      </w:r>
      <w:r w:rsidRPr="00BB7695">
        <w:rPr>
          <w:b/>
          <w:color w:val="009AA6"/>
          <w:sz w:val="52"/>
        </w:rPr>
        <w:t xml:space="preserve">: </w:t>
      </w:r>
    </w:p>
    <w:p w14:paraId="225670CD" w14:textId="77777777" w:rsidR="001A4AE9" w:rsidRPr="00BB7695" w:rsidRDefault="00BB7695" w:rsidP="00353498">
      <w:pPr>
        <w:jc w:val="center"/>
        <w:rPr>
          <w:b/>
          <w:i/>
          <w:color w:val="009AA6"/>
          <w:sz w:val="52"/>
        </w:rPr>
      </w:pPr>
      <w:r w:rsidRPr="00BB7695">
        <w:rPr>
          <w:b/>
          <w:color w:val="009AA6"/>
          <w:sz w:val="52"/>
        </w:rPr>
        <w:t>Engaging Employers to Strengthen Your State CTE System</w:t>
      </w:r>
      <w:r w:rsidR="000A57CF" w:rsidRPr="00BB7695">
        <w:rPr>
          <w:b/>
          <w:color w:val="009AA6"/>
          <w:sz w:val="52"/>
        </w:rPr>
        <w:t xml:space="preserve"> </w:t>
      </w:r>
    </w:p>
    <w:p w14:paraId="693237BF" w14:textId="77777777" w:rsidR="001A4AE9" w:rsidRPr="00D65C99" w:rsidRDefault="00BB7695" w:rsidP="00353498">
      <w:pPr>
        <w:jc w:val="center"/>
        <w:rPr>
          <w:i/>
          <w:sz w:val="28"/>
        </w:rPr>
      </w:pPr>
      <w:r w:rsidRPr="00BB7695">
        <w:rPr>
          <w:i/>
          <w:sz w:val="28"/>
        </w:rPr>
        <w:t>Spring 2018</w:t>
      </w:r>
    </w:p>
    <w:p w14:paraId="46917AF8" w14:textId="77777777" w:rsidR="005B51C8" w:rsidRPr="005B51C8" w:rsidRDefault="005B51C8" w:rsidP="00353498"/>
    <w:p w14:paraId="56275B1A" w14:textId="77777777" w:rsidR="001D7CC8" w:rsidRDefault="001D7CC8" w:rsidP="00353498"/>
    <w:p w14:paraId="2BA33F43" w14:textId="136A41F4" w:rsidR="003E4F12" w:rsidRPr="00702CCB" w:rsidRDefault="001A4AE9" w:rsidP="007C2AE9">
      <w:pPr>
        <w:pStyle w:val="Title"/>
        <w:rPr>
          <w:b/>
          <w:color w:val="009AA6"/>
          <w:sz w:val="28"/>
        </w:rPr>
      </w:pPr>
      <w:bookmarkStart w:id="3" w:name="_Toc495335818"/>
      <w:r>
        <w:rPr>
          <w:b/>
          <w:sz w:val="28"/>
        </w:rPr>
        <w:br w:type="page"/>
      </w:r>
    </w:p>
    <w:bookmarkEnd w:id="3" w:displacedByCustomXml="next"/>
    <w:sdt>
      <w:sdtPr>
        <w:rPr>
          <w:rFonts w:ascii="Myriad Pro" w:eastAsiaTheme="minorHAnsi" w:hAnsi="Myriad Pro" w:cstheme="minorBidi"/>
          <w:b/>
          <w:color w:val="009AA6"/>
          <w:sz w:val="22"/>
          <w:szCs w:val="22"/>
        </w:rPr>
        <w:id w:val="635460801"/>
        <w:docPartObj>
          <w:docPartGallery w:val="Table of Contents"/>
          <w:docPartUnique/>
        </w:docPartObj>
      </w:sdtPr>
      <w:sdtEndPr>
        <w:rPr>
          <w:bCs/>
          <w:noProof/>
          <w:color w:val="auto"/>
        </w:rPr>
      </w:sdtEndPr>
      <w:sdtContent>
        <w:p w14:paraId="30BEAC48" w14:textId="77777777" w:rsidR="00355AD9" w:rsidRPr="00355AD9" w:rsidRDefault="00355AD9" w:rsidP="00353498">
          <w:pPr>
            <w:pStyle w:val="TOCHeading"/>
            <w:rPr>
              <w:b/>
              <w:color w:val="009AA6"/>
            </w:rPr>
          </w:pPr>
          <w:r w:rsidRPr="00355AD9">
            <w:rPr>
              <w:b/>
              <w:color w:val="009AA6"/>
            </w:rPr>
            <w:t>Contents</w:t>
          </w:r>
        </w:p>
        <w:p w14:paraId="64671072" w14:textId="77777777" w:rsidR="0091625B" w:rsidRDefault="00606BD0">
          <w:pPr>
            <w:pStyle w:val="TOC1"/>
            <w:tabs>
              <w:tab w:val="right" w:leader="dot" w:pos="9350"/>
            </w:tabs>
            <w:rPr>
              <w:rFonts w:asciiTheme="minorHAnsi" w:eastAsiaTheme="minorEastAsia" w:hAnsiTheme="minorHAnsi"/>
              <w:noProof/>
            </w:rPr>
          </w:pPr>
          <w:r>
            <w:fldChar w:fldCharType="begin"/>
          </w:r>
          <w:r w:rsidR="00355AD9">
            <w:instrText xml:space="preserve"> TOC \o "1-3" \h \z \u </w:instrText>
          </w:r>
          <w:r>
            <w:fldChar w:fldCharType="separate"/>
          </w:r>
          <w:hyperlink w:anchor="_Toc511597538" w:history="1">
            <w:r w:rsidR="0091625B" w:rsidRPr="00B57964">
              <w:rPr>
                <w:rStyle w:val="Hyperlink"/>
                <w:b/>
                <w:noProof/>
              </w:rPr>
              <w:t>How to Use the Modules</w:t>
            </w:r>
            <w:r w:rsidR="0091625B">
              <w:rPr>
                <w:noProof/>
                <w:webHidden/>
              </w:rPr>
              <w:tab/>
            </w:r>
            <w:r w:rsidR="0091625B">
              <w:rPr>
                <w:noProof/>
                <w:webHidden/>
              </w:rPr>
              <w:fldChar w:fldCharType="begin"/>
            </w:r>
            <w:r w:rsidR="0091625B">
              <w:rPr>
                <w:noProof/>
                <w:webHidden/>
              </w:rPr>
              <w:instrText xml:space="preserve"> PAGEREF _Toc511597538 \h </w:instrText>
            </w:r>
            <w:r w:rsidR="0091625B">
              <w:rPr>
                <w:noProof/>
                <w:webHidden/>
              </w:rPr>
            </w:r>
            <w:r w:rsidR="0091625B">
              <w:rPr>
                <w:noProof/>
                <w:webHidden/>
              </w:rPr>
              <w:fldChar w:fldCharType="separate"/>
            </w:r>
            <w:r w:rsidR="008C4E6D">
              <w:rPr>
                <w:noProof/>
                <w:webHidden/>
              </w:rPr>
              <w:t>3</w:t>
            </w:r>
            <w:r w:rsidR="0091625B">
              <w:rPr>
                <w:noProof/>
                <w:webHidden/>
              </w:rPr>
              <w:fldChar w:fldCharType="end"/>
            </w:r>
          </w:hyperlink>
        </w:p>
        <w:p w14:paraId="60EEC073" w14:textId="77777777" w:rsidR="0091625B" w:rsidRDefault="00437D23">
          <w:pPr>
            <w:pStyle w:val="TOC1"/>
            <w:tabs>
              <w:tab w:val="right" w:leader="dot" w:pos="9350"/>
            </w:tabs>
            <w:rPr>
              <w:rFonts w:asciiTheme="minorHAnsi" w:eastAsiaTheme="minorEastAsia" w:hAnsiTheme="minorHAnsi"/>
              <w:noProof/>
            </w:rPr>
          </w:pPr>
          <w:hyperlink w:anchor="_Toc511597539" w:history="1">
            <w:r w:rsidR="0091625B" w:rsidRPr="00B57964">
              <w:rPr>
                <w:rStyle w:val="Hyperlink"/>
                <w:b/>
                <w:noProof/>
              </w:rPr>
              <w:t>Module Objectives &amp; Pre-Module Survey</w:t>
            </w:r>
            <w:r w:rsidR="0091625B">
              <w:rPr>
                <w:noProof/>
                <w:webHidden/>
              </w:rPr>
              <w:tab/>
            </w:r>
            <w:r w:rsidR="0091625B">
              <w:rPr>
                <w:noProof/>
                <w:webHidden/>
              </w:rPr>
              <w:fldChar w:fldCharType="begin"/>
            </w:r>
            <w:r w:rsidR="0091625B">
              <w:rPr>
                <w:noProof/>
                <w:webHidden/>
              </w:rPr>
              <w:instrText xml:space="preserve"> PAGEREF _Toc511597539 \h </w:instrText>
            </w:r>
            <w:r w:rsidR="0091625B">
              <w:rPr>
                <w:noProof/>
                <w:webHidden/>
              </w:rPr>
            </w:r>
            <w:r w:rsidR="0091625B">
              <w:rPr>
                <w:noProof/>
                <w:webHidden/>
              </w:rPr>
              <w:fldChar w:fldCharType="separate"/>
            </w:r>
            <w:r w:rsidR="008C4E6D">
              <w:rPr>
                <w:noProof/>
                <w:webHidden/>
              </w:rPr>
              <w:t>4</w:t>
            </w:r>
            <w:r w:rsidR="0091625B">
              <w:rPr>
                <w:noProof/>
                <w:webHidden/>
              </w:rPr>
              <w:fldChar w:fldCharType="end"/>
            </w:r>
          </w:hyperlink>
        </w:p>
        <w:p w14:paraId="4259F037" w14:textId="77777777" w:rsidR="0091625B" w:rsidRDefault="00437D23">
          <w:pPr>
            <w:pStyle w:val="TOC2"/>
            <w:tabs>
              <w:tab w:val="right" w:leader="dot" w:pos="9350"/>
            </w:tabs>
            <w:rPr>
              <w:rFonts w:asciiTheme="minorHAnsi" w:eastAsiaTheme="minorEastAsia" w:hAnsiTheme="minorHAnsi"/>
              <w:noProof/>
            </w:rPr>
          </w:pPr>
          <w:hyperlink w:anchor="_Toc511597540" w:history="1">
            <w:r w:rsidR="0091625B" w:rsidRPr="00B57964">
              <w:rPr>
                <w:rStyle w:val="Hyperlink"/>
                <w:noProof/>
              </w:rPr>
              <w:t>Module Objectives</w:t>
            </w:r>
            <w:r w:rsidR="0091625B">
              <w:rPr>
                <w:noProof/>
                <w:webHidden/>
              </w:rPr>
              <w:tab/>
            </w:r>
            <w:r w:rsidR="0091625B">
              <w:rPr>
                <w:noProof/>
                <w:webHidden/>
              </w:rPr>
              <w:fldChar w:fldCharType="begin"/>
            </w:r>
            <w:r w:rsidR="0091625B">
              <w:rPr>
                <w:noProof/>
                <w:webHidden/>
              </w:rPr>
              <w:instrText xml:space="preserve"> PAGEREF _Toc511597540 \h </w:instrText>
            </w:r>
            <w:r w:rsidR="0091625B">
              <w:rPr>
                <w:noProof/>
                <w:webHidden/>
              </w:rPr>
            </w:r>
            <w:r w:rsidR="0091625B">
              <w:rPr>
                <w:noProof/>
                <w:webHidden/>
              </w:rPr>
              <w:fldChar w:fldCharType="separate"/>
            </w:r>
            <w:r w:rsidR="008C4E6D">
              <w:rPr>
                <w:noProof/>
                <w:webHidden/>
              </w:rPr>
              <w:t>4</w:t>
            </w:r>
            <w:r w:rsidR="0091625B">
              <w:rPr>
                <w:noProof/>
                <w:webHidden/>
              </w:rPr>
              <w:fldChar w:fldCharType="end"/>
            </w:r>
          </w:hyperlink>
        </w:p>
        <w:p w14:paraId="0F61522A" w14:textId="77777777" w:rsidR="0091625B" w:rsidRDefault="00437D23">
          <w:pPr>
            <w:pStyle w:val="TOC1"/>
            <w:tabs>
              <w:tab w:val="right" w:leader="dot" w:pos="9350"/>
            </w:tabs>
            <w:rPr>
              <w:rFonts w:asciiTheme="minorHAnsi" w:eastAsiaTheme="minorEastAsia" w:hAnsiTheme="minorHAnsi"/>
              <w:noProof/>
            </w:rPr>
          </w:pPr>
          <w:hyperlink w:anchor="_Toc511597541" w:history="1">
            <w:r w:rsidR="0091625B" w:rsidRPr="00B57964">
              <w:rPr>
                <w:rStyle w:val="Hyperlink"/>
                <w:b/>
                <w:noProof/>
              </w:rPr>
              <w:t>Getting Started</w:t>
            </w:r>
            <w:r w:rsidR="0091625B">
              <w:rPr>
                <w:noProof/>
                <w:webHidden/>
              </w:rPr>
              <w:tab/>
            </w:r>
            <w:r w:rsidR="0091625B">
              <w:rPr>
                <w:noProof/>
                <w:webHidden/>
              </w:rPr>
              <w:fldChar w:fldCharType="begin"/>
            </w:r>
            <w:r w:rsidR="0091625B">
              <w:rPr>
                <w:noProof/>
                <w:webHidden/>
              </w:rPr>
              <w:instrText xml:space="preserve"> PAGEREF _Toc511597541 \h </w:instrText>
            </w:r>
            <w:r w:rsidR="0091625B">
              <w:rPr>
                <w:noProof/>
                <w:webHidden/>
              </w:rPr>
            </w:r>
            <w:r w:rsidR="0091625B">
              <w:rPr>
                <w:noProof/>
                <w:webHidden/>
              </w:rPr>
              <w:fldChar w:fldCharType="separate"/>
            </w:r>
            <w:r w:rsidR="008C4E6D">
              <w:rPr>
                <w:noProof/>
                <w:webHidden/>
              </w:rPr>
              <w:t>5</w:t>
            </w:r>
            <w:r w:rsidR="0091625B">
              <w:rPr>
                <w:noProof/>
                <w:webHidden/>
              </w:rPr>
              <w:fldChar w:fldCharType="end"/>
            </w:r>
          </w:hyperlink>
        </w:p>
        <w:p w14:paraId="2399C31E" w14:textId="77777777" w:rsidR="0091625B" w:rsidRDefault="00437D23">
          <w:pPr>
            <w:pStyle w:val="TOC2"/>
            <w:tabs>
              <w:tab w:val="right" w:leader="dot" w:pos="9350"/>
            </w:tabs>
            <w:rPr>
              <w:rFonts w:asciiTheme="minorHAnsi" w:eastAsiaTheme="minorEastAsia" w:hAnsiTheme="minorHAnsi"/>
              <w:noProof/>
            </w:rPr>
          </w:pPr>
          <w:hyperlink w:anchor="_Toc511597542" w:history="1">
            <w:r w:rsidR="0091625B" w:rsidRPr="00B57964">
              <w:rPr>
                <w:rStyle w:val="Hyperlink"/>
                <w:noProof/>
              </w:rPr>
              <w:t>Employer Engagement Refresher</w:t>
            </w:r>
            <w:r w:rsidR="0091625B">
              <w:rPr>
                <w:noProof/>
                <w:webHidden/>
              </w:rPr>
              <w:tab/>
            </w:r>
            <w:r w:rsidR="0091625B">
              <w:rPr>
                <w:noProof/>
                <w:webHidden/>
              </w:rPr>
              <w:fldChar w:fldCharType="begin"/>
            </w:r>
            <w:r w:rsidR="0091625B">
              <w:rPr>
                <w:noProof/>
                <w:webHidden/>
              </w:rPr>
              <w:instrText xml:space="preserve"> PAGEREF _Toc511597542 \h </w:instrText>
            </w:r>
            <w:r w:rsidR="0091625B">
              <w:rPr>
                <w:noProof/>
                <w:webHidden/>
              </w:rPr>
            </w:r>
            <w:r w:rsidR="0091625B">
              <w:rPr>
                <w:noProof/>
                <w:webHidden/>
              </w:rPr>
              <w:fldChar w:fldCharType="separate"/>
            </w:r>
            <w:r w:rsidR="008C4E6D">
              <w:rPr>
                <w:noProof/>
                <w:webHidden/>
              </w:rPr>
              <w:t>5</w:t>
            </w:r>
            <w:r w:rsidR="0091625B">
              <w:rPr>
                <w:noProof/>
                <w:webHidden/>
              </w:rPr>
              <w:fldChar w:fldCharType="end"/>
            </w:r>
          </w:hyperlink>
        </w:p>
        <w:p w14:paraId="5CDF0FAB" w14:textId="77777777" w:rsidR="0091625B" w:rsidRDefault="00437D23">
          <w:pPr>
            <w:pStyle w:val="TOC2"/>
            <w:tabs>
              <w:tab w:val="right" w:leader="dot" w:pos="9350"/>
            </w:tabs>
            <w:rPr>
              <w:rFonts w:asciiTheme="minorHAnsi" w:eastAsiaTheme="minorEastAsia" w:hAnsiTheme="minorHAnsi"/>
              <w:noProof/>
            </w:rPr>
          </w:pPr>
          <w:hyperlink w:anchor="_Toc511597543" w:history="1">
            <w:r w:rsidR="0091625B" w:rsidRPr="00B57964">
              <w:rPr>
                <w:rStyle w:val="Hyperlink"/>
                <w:noProof/>
              </w:rPr>
              <w:t>Inventory</w:t>
            </w:r>
            <w:r w:rsidR="0091625B">
              <w:rPr>
                <w:noProof/>
                <w:webHidden/>
              </w:rPr>
              <w:tab/>
            </w:r>
            <w:r w:rsidR="0091625B">
              <w:rPr>
                <w:noProof/>
                <w:webHidden/>
              </w:rPr>
              <w:fldChar w:fldCharType="begin"/>
            </w:r>
            <w:r w:rsidR="0091625B">
              <w:rPr>
                <w:noProof/>
                <w:webHidden/>
              </w:rPr>
              <w:instrText xml:space="preserve"> PAGEREF _Toc511597543 \h </w:instrText>
            </w:r>
            <w:r w:rsidR="0091625B">
              <w:rPr>
                <w:noProof/>
                <w:webHidden/>
              </w:rPr>
            </w:r>
            <w:r w:rsidR="0091625B">
              <w:rPr>
                <w:noProof/>
                <w:webHidden/>
              </w:rPr>
              <w:fldChar w:fldCharType="separate"/>
            </w:r>
            <w:r w:rsidR="008C4E6D">
              <w:rPr>
                <w:noProof/>
                <w:webHidden/>
              </w:rPr>
              <w:t>5</w:t>
            </w:r>
            <w:r w:rsidR="0091625B">
              <w:rPr>
                <w:noProof/>
                <w:webHidden/>
              </w:rPr>
              <w:fldChar w:fldCharType="end"/>
            </w:r>
          </w:hyperlink>
        </w:p>
        <w:p w14:paraId="7468EEAE" w14:textId="77777777" w:rsidR="0091625B" w:rsidRDefault="00437D23">
          <w:pPr>
            <w:pStyle w:val="TOC1"/>
            <w:tabs>
              <w:tab w:val="right" w:leader="dot" w:pos="9350"/>
            </w:tabs>
            <w:rPr>
              <w:rFonts w:asciiTheme="minorHAnsi" w:eastAsiaTheme="minorEastAsia" w:hAnsiTheme="minorHAnsi"/>
              <w:noProof/>
            </w:rPr>
          </w:pPr>
          <w:hyperlink w:anchor="_Toc511597544" w:history="1">
            <w:r w:rsidR="0091625B" w:rsidRPr="00B57964">
              <w:rPr>
                <w:rStyle w:val="Hyperlink"/>
                <w:b/>
                <w:noProof/>
              </w:rPr>
              <w:t>Aligning Your CTE System to Other State Initiatives</w:t>
            </w:r>
            <w:r w:rsidR="0091625B">
              <w:rPr>
                <w:noProof/>
                <w:webHidden/>
              </w:rPr>
              <w:tab/>
            </w:r>
            <w:r w:rsidR="0091625B">
              <w:rPr>
                <w:noProof/>
                <w:webHidden/>
              </w:rPr>
              <w:fldChar w:fldCharType="begin"/>
            </w:r>
            <w:r w:rsidR="0091625B">
              <w:rPr>
                <w:noProof/>
                <w:webHidden/>
              </w:rPr>
              <w:instrText xml:space="preserve"> PAGEREF _Toc511597544 \h </w:instrText>
            </w:r>
            <w:r w:rsidR="0091625B">
              <w:rPr>
                <w:noProof/>
                <w:webHidden/>
              </w:rPr>
            </w:r>
            <w:r w:rsidR="0091625B">
              <w:rPr>
                <w:noProof/>
                <w:webHidden/>
              </w:rPr>
              <w:fldChar w:fldCharType="separate"/>
            </w:r>
            <w:r w:rsidR="008C4E6D">
              <w:rPr>
                <w:noProof/>
                <w:webHidden/>
              </w:rPr>
              <w:t>8</w:t>
            </w:r>
            <w:r w:rsidR="0091625B">
              <w:rPr>
                <w:noProof/>
                <w:webHidden/>
              </w:rPr>
              <w:fldChar w:fldCharType="end"/>
            </w:r>
          </w:hyperlink>
        </w:p>
        <w:p w14:paraId="78998810" w14:textId="77777777" w:rsidR="0091625B" w:rsidRDefault="00437D23">
          <w:pPr>
            <w:pStyle w:val="TOC2"/>
            <w:tabs>
              <w:tab w:val="right" w:leader="dot" w:pos="9350"/>
            </w:tabs>
            <w:rPr>
              <w:rFonts w:asciiTheme="minorHAnsi" w:eastAsiaTheme="minorEastAsia" w:hAnsiTheme="minorHAnsi"/>
              <w:noProof/>
            </w:rPr>
          </w:pPr>
          <w:hyperlink w:anchor="_Toc511597545" w:history="1">
            <w:r w:rsidR="0091625B" w:rsidRPr="00B57964">
              <w:rPr>
                <w:rStyle w:val="Hyperlink"/>
                <w:noProof/>
              </w:rPr>
              <w:t>Section 1: Intersections with Other State Initiatives and Systems</w:t>
            </w:r>
            <w:r w:rsidR="0091625B">
              <w:rPr>
                <w:noProof/>
                <w:webHidden/>
              </w:rPr>
              <w:tab/>
            </w:r>
            <w:r w:rsidR="0091625B">
              <w:rPr>
                <w:noProof/>
                <w:webHidden/>
              </w:rPr>
              <w:fldChar w:fldCharType="begin"/>
            </w:r>
            <w:r w:rsidR="0091625B">
              <w:rPr>
                <w:noProof/>
                <w:webHidden/>
              </w:rPr>
              <w:instrText xml:space="preserve"> PAGEREF _Toc511597545 \h </w:instrText>
            </w:r>
            <w:r w:rsidR="0091625B">
              <w:rPr>
                <w:noProof/>
                <w:webHidden/>
              </w:rPr>
            </w:r>
            <w:r w:rsidR="0091625B">
              <w:rPr>
                <w:noProof/>
                <w:webHidden/>
              </w:rPr>
              <w:fldChar w:fldCharType="separate"/>
            </w:r>
            <w:r w:rsidR="008C4E6D">
              <w:rPr>
                <w:noProof/>
                <w:webHidden/>
              </w:rPr>
              <w:t>8</w:t>
            </w:r>
            <w:r w:rsidR="0091625B">
              <w:rPr>
                <w:noProof/>
                <w:webHidden/>
              </w:rPr>
              <w:fldChar w:fldCharType="end"/>
            </w:r>
          </w:hyperlink>
        </w:p>
        <w:p w14:paraId="3505BB95" w14:textId="77777777" w:rsidR="0091625B" w:rsidRDefault="00437D23">
          <w:pPr>
            <w:pStyle w:val="TOC3"/>
            <w:rPr>
              <w:rFonts w:asciiTheme="minorHAnsi" w:eastAsiaTheme="minorEastAsia" w:hAnsiTheme="minorHAnsi"/>
              <w:b w:val="0"/>
            </w:rPr>
          </w:pPr>
          <w:hyperlink w:anchor="_Toc511597546" w:history="1">
            <w:r w:rsidR="0091625B" w:rsidRPr="00B57964">
              <w:rPr>
                <w:rStyle w:val="Hyperlink"/>
              </w:rPr>
              <w:t>Intersections with Other State Initiatives and Systems</w:t>
            </w:r>
            <w:r w:rsidR="0091625B">
              <w:rPr>
                <w:webHidden/>
              </w:rPr>
              <w:tab/>
            </w:r>
            <w:r w:rsidR="0091625B">
              <w:rPr>
                <w:webHidden/>
              </w:rPr>
              <w:fldChar w:fldCharType="begin"/>
            </w:r>
            <w:r w:rsidR="0091625B">
              <w:rPr>
                <w:webHidden/>
              </w:rPr>
              <w:instrText xml:space="preserve"> PAGEREF _Toc511597546 \h </w:instrText>
            </w:r>
            <w:r w:rsidR="0091625B">
              <w:rPr>
                <w:webHidden/>
              </w:rPr>
            </w:r>
            <w:r w:rsidR="0091625B">
              <w:rPr>
                <w:webHidden/>
              </w:rPr>
              <w:fldChar w:fldCharType="separate"/>
            </w:r>
            <w:r w:rsidR="008C4E6D">
              <w:rPr>
                <w:webHidden/>
              </w:rPr>
              <w:t>8</w:t>
            </w:r>
            <w:r w:rsidR="0091625B">
              <w:rPr>
                <w:webHidden/>
              </w:rPr>
              <w:fldChar w:fldCharType="end"/>
            </w:r>
          </w:hyperlink>
        </w:p>
        <w:p w14:paraId="37FA2104" w14:textId="77777777" w:rsidR="0091625B" w:rsidRDefault="00437D23">
          <w:pPr>
            <w:pStyle w:val="TOC3"/>
            <w:rPr>
              <w:rFonts w:asciiTheme="minorHAnsi" w:eastAsiaTheme="minorEastAsia" w:hAnsiTheme="minorHAnsi"/>
              <w:b w:val="0"/>
            </w:rPr>
          </w:pPr>
          <w:hyperlink w:anchor="_Toc511597547" w:history="1">
            <w:r w:rsidR="0091625B" w:rsidRPr="00B57964">
              <w:rPr>
                <w:rStyle w:val="Hyperlink"/>
              </w:rPr>
              <w:t>Key Questions: Intersections with Other State Initiatives and Systems</w:t>
            </w:r>
            <w:r w:rsidR="0091625B">
              <w:rPr>
                <w:webHidden/>
              </w:rPr>
              <w:tab/>
            </w:r>
            <w:r w:rsidR="0091625B">
              <w:rPr>
                <w:webHidden/>
              </w:rPr>
              <w:fldChar w:fldCharType="begin"/>
            </w:r>
            <w:r w:rsidR="0091625B">
              <w:rPr>
                <w:webHidden/>
              </w:rPr>
              <w:instrText xml:space="preserve"> PAGEREF _Toc511597547 \h </w:instrText>
            </w:r>
            <w:r w:rsidR="0091625B">
              <w:rPr>
                <w:webHidden/>
              </w:rPr>
            </w:r>
            <w:r w:rsidR="0091625B">
              <w:rPr>
                <w:webHidden/>
              </w:rPr>
              <w:fldChar w:fldCharType="separate"/>
            </w:r>
            <w:r w:rsidR="008C4E6D">
              <w:rPr>
                <w:webHidden/>
              </w:rPr>
              <w:t>11</w:t>
            </w:r>
            <w:r w:rsidR="0091625B">
              <w:rPr>
                <w:webHidden/>
              </w:rPr>
              <w:fldChar w:fldCharType="end"/>
            </w:r>
          </w:hyperlink>
        </w:p>
        <w:p w14:paraId="11D160C9" w14:textId="77777777" w:rsidR="0091625B" w:rsidRDefault="00437D23">
          <w:pPr>
            <w:pStyle w:val="TOC2"/>
            <w:tabs>
              <w:tab w:val="right" w:leader="dot" w:pos="9350"/>
            </w:tabs>
            <w:rPr>
              <w:rFonts w:asciiTheme="minorHAnsi" w:eastAsiaTheme="minorEastAsia" w:hAnsiTheme="minorHAnsi"/>
              <w:noProof/>
            </w:rPr>
          </w:pPr>
          <w:hyperlink w:anchor="_Toc511597548" w:history="1">
            <w:r w:rsidR="0091625B" w:rsidRPr="00B57964">
              <w:rPr>
                <w:rStyle w:val="Hyperlink"/>
                <w:noProof/>
                <w:lang w:val="en-GB"/>
              </w:rPr>
              <w:t>Section 2: CTE Program Alignment and Validation</w:t>
            </w:r>
            <w:r w:rsidR="0091625B">
              <w:rPr>
                <w:noProof/>
                <w:webHidden/>
              </w:rPr>
              <w:tab/>
            </w:r>
            <w:r w:rsidR="0091625B">
              <w:rPr>
                <w:noProof/>
                <w:webHidden/>
              </w:rPr>
              <w:fldChar w:fldCharType="begin"/>
            </w:r>
            <w:r w:rsidR="0091625B">
              <w:rPr>
                <w:noProof/>
                <w:webHidden/>
              </w:rPr>
              <w:instrText xml:space="preserve"> PAGEREF _Toc511597548 \h </w:instrText>
            </w:r>
            <w:r w:rsidR="0091625B">
              <w:rPr>
                <w:noProof/>
                <w:webHidden/>
              </w:rPr>
            </w:r>
            <w:r w:rsidR="0091625B">
              <w:rPr>
                <w:noProof/>
                <w:webHidden/>
              </w:rPr>
              <w:fldChar w:fldCharType="separate"/>
            </w:r>
            <w:r w:rsidR="008C4E6D">
              <w:rPr>
                <w:noProof/>
                <w:webHidden/>
              </w:rPr>
              <w:t>12</w:t>
            </w:r>
            <w:r w:rsidR="0091625B">
              <w:rPr>
                <w:noProof/>
                <w:webHidden/>
              </w:rPr>
              <w:fldChar w:fldCharType="end"/>
            </w:r>
          </w:hyperlink>
        </w:p>
        <w:p w14:paraId="287AB9B1" w14:textId="77777777" w:rsidR="0091625B" w:rsidRDefault="00437D23">
          <w:pPr>
            <w:pStyle w:val="TOC3"/>
            <w:rPr>
              <w:rFonts w:asciiTheme="minorHAnsi" w:eastAsiaTheme="minorEastAsia" w:hAnsiTheme="minorHAnsi"/>
              <w:b w:val="0"/>
            </w:rPr>
          </w:pPr>
          <w:hyperlink w:anchor="_Toc511597549" w:history="1">
            <w:r w:rsidR="0091625B" w:rsidRPr="00B57964">
              <w:rPr>
                <w:rStyle w:val="Hyperlink"/>
                <w:lang w:val="en-GB"/>
              </w:rPr>
              <w:t>CTE Program Alignment and Validation</w:t>
            </w:r>
            <w:r w:rsidR="0091625B">
              <w:rPr>
                <w:webHidden/>
              </w:rPr>
              <w:tab/>
            </w:r>
            <w:r w:rsidR="0091625B">
              <w:rPr>
                <w:webHidden/>
              </w:rPr>
              <w:fldChar w:fldCharType="begin"/>
            </w:r>
            <w:r w:rsidR="0091625B">
              <w:rPr>
                <w:webHidden/>
              </w:rPr>
              <w:instrText xml:space="preserve"> PAGEREF _Toc511597549 \h </w:instrText>
            </w:r>
            <w:r w:rsidR="0091625B">
              <w:rPr>
                <w:webHidden/>
              </w:rPr>
            </w:r>
            <w:r w:rsidR="0091625B">
              <w:rPr>
                <w:webHidden/>
              </w:rPr>
              <w:fldChar w:fldCharType="separate"/>
            </w:r>
            <w:r w:rsidR="008C4E6D">
              <w:rPr>
                <w:webHidden/>
              </w:rPr>
              <w:t>12</w:t>
            </w:r>
            <w:r w:rsidR="0091625B">
              <w:rPr>
                <w:webHidden/>
              </w:rPr>
              <w:fldChar w:fldCharType="end"/>
            </w:r>
          </w:hyperlink>
        </w:p>
        <w:p w14:paraId="07327766" w14:textId="77777777" w:rsidR="0091625B" w:rsidRDefault="00437D23">
          <w:pPr>
            <w:pStyle w:val="TOC3"/>
            <w:rPr>
              <w:rFonts w:asciiTheme="minorHAnsi" w:eastAsiaTheme="minorEastAsia" w:hAnsiTheme="minorHAnsi"/>
              <w:b w:val="0"/>
            </w:rPr>
          </w:pPr>
          <w:hyperlink w:anchor="_Toc511597550" w:history="1">
            <w:r w:rsidR="0091625B" w:rsidRPr="00B57964">
              <w:rPr>
                <w:rStyle w:val="Hyperlink"/>
              </w:rPr>
              <w:t xml:space="preserve">Key Questions: </w:t>
            </w:r>
            <w:r w:rsidR="0091625B" w:rsidRPr="00B57964">
              <w:rPr>
                <w:rStyle w:val="Hyperlink"/>
                <w:lang w:val="en-GB"/>
              </w:rPr>
              <w:t>CTE Program Alignment and Validation</w:t>
            </w:r>
            <w:r w:rsidR="0091625B">
              <w:rPr>
                <w:webHidden/>
              </w:rPr>
              <w:tab/>
            </w:r>
            <w:r w:rsidR="0091625B">
              <w:rPr>
                <w:webHidden/>
              </w:rPr>
              <w:fldChar w:fldCharType="begin"/>
            </w:r>
            <w:r w:rsidR="0091625B">
              <w:rPr>
                <w:webHidden/>
              </w:rPr>
              <w:instrText xml:space="preserve"> PAGEREF _Toc511597550 \h </w:instrText>
            </w:r>
            <w:r w:rsidR="0091625B">
              <w:rPr>
                <w:webHidden/>
              </w:rPr>
            </w:r>
            <w:r w:rsidR="0091625B">
              <w:rPr>
                <w:webHidden/>
              </w:rPr>
              <w:fldChar w:fldCharType="separate"/>
            </w:r>
            <w:r w:rsidR="008C4E6D">
              <w:rPr>
                <w:webHidden/>
              </w:rPr>
              <w:t>16</w:t>
            </w:r>
            <w:r w:rsidR="0091625B">
              <w:rPr>
                <w:webHidden/>
              </w:rPr>
              <w:fldChar w:fldCharType="end"/>
            </w:r>
          </w:hyperlink>
        </w:p>
        <w:p w14:paraId="361B2B18" w14:textId="77777777" w:rsidR="0091625B" w:rsidRDefault="00437D23">
          <w:pPr>
            <w:pStyle w:val="TOC1"/>
            <w:tabs>
              <w:tab w:val="right" w:leader="dot" w:pos="9350"/>
            </w:tabs>
            <w:rPr>
              <w:rFonts w:asciiTheme="minorHAnsi" w:eastAsiaTheme="minorEastAsia" w:hAnsiTheme="minorHAnsi"/>
              <w:noProof/>
            </w:rPr>
          </w:pPr>
          <w:hyperlink w:anchor="_Toc511597551" w:history="1">
            <w:r w:rsidR="0091625B" w:rsidRPr="00B57964">
              <w:rPr>
                <w:rStyle w:val="Hyperlink"/>
                <w:b/>
                <w:noProof/>
              </w:rPr>
              <w:t>Partnering with Employers to Strengthen Your State CTE System</w:t>
            </w:r>
            <w:r w:rsidR="0091625B">
              <w:rPr>
                <w:noProof/>
                <w:webHidden/>
              </w:rPr>
              <w:tab/>
            </w:r>
            <w:r w:rsidR="0091625B">
              <w:rPr>
                <w:noProof/>
                <w:webHidden/>
              </w:rPr>
              <w:fldChar w:fldCharType="begin"/>
            </w:r>
            <w:r w:rsidR="0091625B">
              <w:rPr>
                <w:noProof/>
                <w:webHidden/>
              </w:rPr>
              <w:instrText xml:space="preserve"> PAGEREF _Toc511597551 \h </w:instrText>
            </w:r>
            <w:r w:rsidR="0091625B">
              <w:rPr>
                <w:noProof/>
                <w:webHidden/>
              </w:rPr>
            </w:r>
            <w:r w:rsidR="0091625B">
              <w:rPr>
                <w:noProof/>
                <w:webHidden/>
              </w:rPr>
              <w:fldChar w:fldCharType="separate"/>
            </w:r>
            <w:r w:rsidR="008C4E6D">
              <w:rPr>
                <w:noProof/>
                <w:webHidden/>
              </w:rPr>
              <w:t>17</w:t>
            </w:r>
            <w:r w:rsidR="0091625B">
              <w:rPr>
                <w:noProof/>
                <w:webHidden/>
              </w:rPr>
              <w:fldChar w:fldCharType="end"/>
            </w:r>
          </w:hyperlink>
        </w:p>
        <w:p w14:paraId="4B51038C" w14:textId="77777777" w:rsidR="0091625B" w:rsidRDefault="00437D23">
          <w:pPr>
            <w:pStyle w:val="TOC2"/>
            <w:tabs>
              <w:tab w:val="right" w:leader="dot" w:pos="9350"/>
            </w:tabs>
            <w:rPr>
              <w:rFonts w:asciiTheme="minorHAnsi" w:eastAsiaTheme="minorEastAsia" w:hAnsiTheme="minorHAnsi"/>
              <w:noProof/>
            </w:rPr>
          </w:pPr>
          <w:hyperlink w:anchor="_Toc511597552" w:history="1">
            <w:r w:rsidR="0091625B" w:rsidRPr="00B57964">
              <w:rPr>
                <w:rStyle w:val="Hyperlink"/>
                <w:noProof/>
                <w:lang w:val="en-GB"/>
              </w:rPr>
              <w:t>Section 1: Work-based Learning</w:t>
            </w:r>
            <w:r w:rsidR="0091625B">
              <w:rPr>
                <w:noProof/>
                <w:webHidden/>
              </w:rPr>
              <w:tab/>
            </w:r>
            <w:r w:rsidR="0091625B">
              <w:rPr>
                <w:noProof/>
                <w:webHidden/>
              </w:rPr>
              <w:fldChar w:fldCharType="begin"/>
            </w:r>
            <w:r w:rsidR="0091625B">
              <w:rPr>
                <w:noProof/>
                <w:webHidden/>
              </w:rPr>
              <w:instrText xml:space="preserve"> PAGEREF _Toc511597552 \h </w:instrText>
            </w:r>
            <w:r w:rsidR="0091625B">
              <w:rPr>
                <w:noProof/>
                <w:webHidden/>
              </w:rPr>
            </w:r>
            <w:r w:rsidR="0091625B">
              <w:rPr>
                <w:noProof/>
                <w:webHidden/>
              </w:rPr>
              <w:fldChar w:fldCharType="separate"/>
            </w:r>
            <w:r w:rsidR="008C4E6D">
              <w:rPr>
                <w:noProof/>
                <w:webHidden/>
              </w:rPr>
              <w:t>17</w:t>
            </w:r>
            <w:r w:rsidR="0091625B">
              <w:rPr>
                <w:noProof/>
                <w:webHidden/>
              </w:rPr>
              <w:fldChar w:fldCharType="end"/>
            </w:r>
          </w:hyperlink>
        </w:p>
        <w:p w14:paraId="7E01E4CD" w14:textId="77777777" w:rsidR="0091625B" w:rsidRDefault="00437D23">
          <w:pPr>
            <w:pStyle w:val="TOC3"/>
            <w:rPr>
              <w:rFonts w:asciiTheme="minorHAnsi" w:eastAsiaTheme="minorEastAsia" w:hAnsiTheme="minorHAnsi"/>
              <w:b w:val="0"/>
            </w:rPr>
          </w:pPr>
          <w:hyperlink w:anchor="_Toc511597553" w:history="1">
            <w:r w:rsidR="0091625B" w:rsidRPr="00B57964">
              <w:rPr>
                <w:rStyle w:val="Hyperlink"/>
              </w:rPr>
              <w:t>Work-based Learning</w:t>
            </w:r>
            <w:r w:rsidR="0091625B">
              <w:rPr>
                <w:webHidden/>
              </w:rPr>
              <w:tab/>
            </w:r>
            <w:r w:rsidR="0091625B">
              <w:rPr>
                <w:webHidden/>
              </w:rPr>
              <w:fldChar w:fldCharType="begin"/>
            </w:r>
            <w:r w:rsidR="0091625B">
              <w:rPr>
                <w:webHidden/>
              </w:rPr>
              <w:instrText xml:space="preserve"> PAGEREF _Toc511597553 \h </w:instrText>
            </w:r>
            <w:r w:rsidR="0091625B">
              <w:rPr>
                <w:webHidden/>
              </w:rPr>
            </w:r>
            <w:r w:rsidR="0091625B">
              <w:rPr>
                <w:webHidden/>
              </w:rPr>
              <w:fldChar w:fldCharType="separate"/>
            </w:r>
            <w:r w:rsidR="008C4E6D">
              <w:rPr>
                <w:webHidden/>
              </w:rPr>
              <w:t>17</w:t>
            </w:r>
            <w:r w:rsidR="0091625B">
              <w:rPr>
                <w:webHidden/>
              </w:rPr>
              <w:fldChar w:fldCharType="end"/>
            </w:r>
          </w:hyperlink>
        </w:p>
        <w:p w14:paraId="29B38F99" w14:textId="77777777" w:rsidR="0091625B" w:rsidRDefault="00437D23">
          <w:pPr>
            <w:pStyle w:val="TOC3"/>
            <w:rPr>
              <w:rFonts w:asciiTheme="minorHAnsi" w:eastAsiaTheme="minorEastAsia" w:hAnsiTheme="minorHAnsi"/>
              <w:b w:val="0"/>
            </w:rPr>
          </w:pPr>
          <w:hyperlink w:anchor="_Toc511597554" w:history="1">
            <w:r w:rsidR="0091625B" w:rsidRPr="00B57964">
              <w:rPr>
                <w:rStyle w:val="Hyperlink"/>
              </w:rPr>
              <w:t>Key Questions:  Work-based Learning</w:t>
            </w:r>
            <w:r w:rsidR="0091625B">
              <w:rPr>
                <w:webHidden/>
              </w:rPr>
              <w:tab/>
            </w:r>
            <w:r w:rsidR="0091625B">
              <w:rPr>
                <w:webHidden/>
              </w:rPr>
              <w:fldChar w:fldCharType="begin"/>
            </w:r>
            <w:r w:rsidR="0091625B">
              <w:rPr>
                <w:webHidden/>
              </w:rPr>
              <w:instrText xml:space="preserve"> PAGEREF _Toc511597554 \h </w:instrText>
            </w:r>
            <w:r w:rsidR="0091625B">
              <w:rPr>
                <w:webHidden/>
              </w:rPr>
            </w:r>
            <w:r w:rsidR="0091625B">
              <w:rPr>
                <w:webHidden/>
              </w:rPr>
              <w:fldChar w:fldCharType="separate"/>
            </w:r>
            <w:r w:rsidR="008C4E6D">
              <w:rPr>
                <w:webHidden/>
              </w:rPr>
              <w:t>21</w:t>
            </w:r>
            <w:r w:rsidR="0091625B">
              <w:rPr>
                <w:webHidden/>
              </w:rPr>
              <w:fldChar w:fldCharType="end"/>
            </w:r>
          </w:hyperlink>
        </w:p>
        <w:p w14:paraId="6898B5A0" w14:textId="77777777" w:rsidR="0091625B" w:rsidRDefault="00437D23">
          <w:pPr>
            <w:pStyle w:val="TOC2"/>
            <w:tabs>
              <w:tab w:val="right" w:leader="dot" w:pos="9350"/>
            </w:tabs>
            <w:rPr>
              <w:rFonts w:asciiTheme="minorHAnsi" w:eastAsiaTheme="minorEastAsia" w:hAnsiTheme="minorHAnsi"/>
              <w:noProof/>
            </w:rPr>
          </w:pPr>
          <w:hyperlink w:anchor="_Toc511597555" w:history="1">
            <w:r w:rsidR="0091625B" w:rsidRPr="00B57964">
              <w:rPr>
                <w:rStyle w:val="Hyperlink"/>
                <w:noProof/>
                <w:lang w:val="en-GB"/>
              </w:rPr>
              <w:t>Section 2: Industry Experts in the Classroom</w:t>
            </w:r>
            <w:r w:rsidR="0091625B">
              <w:rPr>
                <w:noProof/>
                <w:webHidden/>
              </w:rPr>
              <w:tab/>
            </w:r>
            <w:r w:rsidR="0091625B">
              <w:rPr>
                <w:noProof/>
                <w:webHidden/>
              </w:rPr>
              <w:fldChar w:fldCharType="begin"/>
            </w:r>
            <w:r w:rsidR="0091625B">
              <w:rPr>
                <w:noProof/>
                <w:webHidden/>
              </w:rPr>
              <w:instrText xml:space="preserve"> PAGEREF _Toc511597555 \h </w:instrText>
            </w:r>
            <w:r w:rsidR="0091625B">
              <w:rPr>
                <w:noProof/>
                <w:webHidden/>
              </w:rPr>
            </w:r>
            <w:r w:rsidR="0091625B">
              <w:rPr>
                <w:noProof/>
                <w:webHidden/>
              </w:rPr>
              <w:fldChar w:fldCharType="separate"/>
            </w:r>
            <w:r w:rsidR="008C4E6D">
              <w:rPr>
                <w:noProof/>
                <w:webHidden/>
              </w:rPr>
              <w:t>22</w:t>
            </w:r>
            <w:r w:rsidR="0091625B">
              <w:rPr>
                <w:noProof/>
                <w:webHidden/>
              </w:rPr>
              <w:fldChar w:fldCharType="end"/>
            </w:r>
          </w:hyperlink>
        </w:p>
        <w:p w14:paraId="457C9B2F" w14:textId="77777777" w:rsidR="0091625B" w:rsidRDefault="00437D23">
          <w:pPr>
            <w:pStyle w:val="TOC3"/>
            <w:rPr>
              <w:rFonts w:asciiTheme="minorHAnsi" w:eastAsiaTheme="minorEastAsia" w:hAnsiTheme="minorHAnsi"/>
              <w:b w:val="0"/>
            </w:rPr>
          </w:pPr>
          <w:hyperlink w:anchor="_Toc511597556" w:history="1">
            <w:r w:rsidR="0091625B" w:rsidRPr="00B57964">
              <w:rPr>
                <w:rStyle w:val="Hyperlink"/>
              </w:rPr>
              <w:t>Industry Experts in the Classroom</w:t>
            </w:r>
            <w:r w:rsidR="0091625B">
              <w:rPr>
                <w:webHidden/>
              </w:rPr>
              <w:tab/>
            </w:r>
            <w:r w:rsidR="0091625B">
              <w:rPr>
                <w:webHidden/>
              </w:rPr>
              <w:fldChar w:fldCharType="begin"/>
            </w:r>
            <w:r w:rsidR="0091625B">
              <w:rPr>
                <w:webHidden/>
              </w:rPr>
              <w:instrText xml:space="preserve"> PAGEREF _Toc511597556 \h </w:instrText>
            </w:r>
            <w:r w:rsidR="0091625B">
              <w:rPr>
                <w:webHidden/>
              </w:rPr>
            </w:r>
            <w:r w:rsidR="0091625B">
              <w:rPr>
                <w:webHidden/>
              </w:rPr>
              <w:fldChar w:fldCharType="separate"/>
            </w:r>
            <w:r w:rsidR="008C4E6D">
              <w:rPr>
                <w:webHidden/>
              </w:rPr>
              <w:t>22</w:t>
            </w:r>
            <w:r w:rsidR="0091625B">
              <w:rPr>
                <w:webHidden/>
              </w:rPr>
              <w:fldChar w:fldCharType="end"/>
            </w:r>
          </w:hyperlink>
        </w:p>
        <w:p w14:paraId="585A2EAB" w14:textId="77777777" w:rsidR="0091625B" w:rsidRDefault="00437D23">
          <w:pPr>
            <w:pStyle w:val="TOC3"/>
            <w:rPr>
              <w:rFonts w:asciiTheme="minorHAnsi" w:eastAsiaTheme="minorEastAsia" w:hAnsiTheme="minorHAnsi"/>
              <w:b w:val="0"/>
            </w:rPr>
          </w:pPr>
          <w:hyperlink w:anchor="_Toc511597557" w:history="1">
            <w:r w:rsidR="0091625B" w:rsidRPr="00B57964">
              <w:rPr>
                <w:rStyle w:val="Hyperlink"/>
              </w:rPr>
              <w:t>Key Questions:  Industry Experts in the Classroom</w:t>
            </w:r>
            <w:r w:rsidR="0091625B">
              <w:rPr>
                <w:webHidden/>
              </w:rPr>
              <w:tab/>
            </w:r>
            <w:r w:rsidR="0091625B">
              <w:rPr>
                <w:webHidden/>
              </w:rPr>
              <w:fldChar w:fldCharType="begin"/>
            </w:r>
            <w:r w:rsidR="0091625B">
              <w:rPr>
                <w:webHidden/>
              </w:rPr>
              <w:instrText xml:space="preserve"> PAGEREF _Toc511597557 \h </w:instrText>
            </w:r>
            <w:r w:rsidR="0091625B">
              <w:rPr>
                <w:webHidden/>
              </w:rPr>
            </w:r>
            <w:r w:rsidR="0091625B">
              <w:rPr>
                <w:webHidden/>
              </w:rPr>
              <w:fldChar w:fldCharType="separate"/>
            </w:r>
            <w:r w:rsidR="008C4E6D">
              <w:rPr>
                <w:webHidden/>
              </w:rPr>
              <w:t>24</w:t>
            </w:r>
            <w:r w:rsidR="0091625B">
              <w:rPr>
                <w:webHidden/>
              </w:rPr>
              <w:fldChar w:fldCharType="end"/>
            </w:r>
          </w:hyperlink>
        </w:p>
        <w:p w14:paraId="16BD32BC" w14:textId="77777777" w:rsidR="0091625B" w:rsidRDefault="00437D23">
          <w:pPr>
            <w:pStyle w:val="TOC1"/>
            <w:tabs>
              <w:tab w:val="right" w:leader="dot" w:pos="9350"/>
            </w:tabs>
            <w:rPr>
              <w:rFonts w:asciiTheme="minorHAnsi" w:eastAsiaTheme="minorEastAsia" w:hAnsiTheme="minorHAnsi"/>
              <w:noProof/>
            </w:rPr>
          </w:pPr>
          <w:hyperlink w:anchor="_Toc511597558" w:history="1">
            <w:r w:rsidR="0091625B" w:rsidRPr="00B57964">
              <w:rPr>
                <w:rStyle w:val="Hyperlink"/>
                <w:b/>
                <w:noProof/>
              </w:rPr>
              <w:t>Supporting Quality Employer Engagement at the Local Level</w:t>
            </w:r>
            <w:r w:rsidR="0091625B">
              <w:rPr>
                <w:noProof/>
                <w:webHidden/>
              </w:rPr>
              <w:tab/>
            </w:r>
            <w:r w:rsidR="0091625B">
              <w:rPr>
                <w:noProof/>
                <w:webHidden/>
              </w:rPr>
              <w:fldChar w:fldCharType="begin"/>
            </w:r>
            <w:r w:rsidR="0091625B">
              <w:rPr>
                <w:noProof/>
                <w:webHidden/>
              </w:rPr>
              <w:instrText xml:space="preserve"> PAGEREF _Toc511597558 \h </w:instrText>
            </w:r>
            <w:r w:rsidR="0091625B">
              <w:rPr>
                <w:noProof/>
                <w:webHidden/>
              </w:rPr>
            </w:r>
            <w:r w:rsidR="0091625B">
              <w:rPr>
                <w:noProof/>
                <w:webHidden/>
              </w:rPr>
              <w:fldChar w:fldCharType="separate"/>
            </w:r>
            <w:r w:rsidR="008C4E6D">
              <w:rPr>
                <w:noProof/>
                <w:webHidden/>
              </w:rPr>
              <w:t>25</w:t>
            </w:r>
            <w:r w:rsidR="0091625B">
              <w:rPr>
                <w:noProof/>
                <w:webHidden/>
              </w:rPr>
              <w:fldChar w:fldCharType="end"/>
            </w:r>
          </w:hyperlink>
        </w:p>
        <w:p w14:paraId="73501D40" w14:textId="77777777" w:rsidR="0091625B" w:rsidRDefault="00437D23">
          <w:pPr>
            <w:pStyle w:val="TOC2"/>
            <w:tabs>
              <w:tab w:val="right" w:leader="dot" w:pos="9350"/>
            </w:tabs>
            <w:rPr>
              <w:rFonts w:asciiTheme="minorHAnsi" w:eastAsiaTheme="minorEastAsia" w:hAnsiTheme="minorHAnsi"/>
              <w:noProof/>
            </w:rPr>
          </w:pPr>
          <w:hyperlink w:anchor="_Toc511597559" w:history="1">
            <w:r w:rsidR="0091625B" w:rsidRPr="00B57964">
              <w:rPr>
                <w:rStyle w:val="Hyperlink"/>
                <w:noProof/>
                <w:lang w:val="en-GB"/>
              </w:rPr>
              <w:t>Section 1: State Policies to Support Local Employer Engagement</w:t>
            </w:r>
            <w:r w:rsidR="0091625B">
              <w:rPr>
                <w:noProof/>
                <w:webHidden/>
              </w:rPr>
              <w:tab/>
            </w:r>
            <w:r w:rsidR="0091625B">
              <w:rPr>
                <w:noProof/>
                <w:webHidden/>
              </w:rPr>
              <w:fldChar w:fldCharType="begin"/>
            </w:r>
            <w:r w:rsidR="0091625B">
              <w:rPr>
                <w:noProof/>
                <w:webHidden/>
              </w:rPr>
              <w:instrText xml:space="preserve"> PAGEREF _Toc511597559 \h </w:instrText>
            </w:r>
            <w:r w:rsidR="0091625B">
              <w:rPr>
                <w:noProof/>
                <w:webHidden/>
              </w:rPr>
            </w:r>
            <w:r w:rsidR="0091625B">
              <w:rPr>
                <w:noProof/>
                <w:webHidden/>
              </w:rPr>
              <w:fldChar w:fldCharType="separate"/>
            </w:r>
            <w:r w:rsidR="008C4E6D">
              <w:rPr>
                <w:noProof/>
                <w:webHidden/>
              </w:rPr>
              <w:t>25</w:t>
            </w:r>
            <w:r w:rsidR="0091625B">
              <w:rPr>
                <w:noProof/>
                <w:webHidden/>
              </w:rPr>
              <w:fldChar w:fldCharType="end"/>
            </w:r>
          </w:hyperlink>
        </w:p>
        <w:p w14:paraId="637F20FA" w14:textId="77777777" w:rsidR="0091625B" w:rsidRDefault="00437D23">
          <w:pPr>
            <w:pStyle w:val="TOC3"/>
            <w:rPr>
              <w:rFonts w:asciiTheme="minorHAnsi" w:eastAsiaTheme="minorEastAsia" w:hAnsiTheme="minorHAnsi"/>
              <w:b w:val="0"/>
            </w:rPr>
          </w:pPr>
          <w:hyperlink w:anchor="_Toc511597560" w:history="1">
            <w:r w:rsidR="0091625B" w:rsidRPr="00B57964">
              <w:rPr>
                <w:rStyle w:val="Hyperlink"/>
              </w:rPr>
              <w:t>State Policies to Support Local Employer Engagement</w:t>
            </w:r>
            <w:r w:rsidR="0091625B">
              <w:rPr>
                <w:webHidden/>
              </w:rPr>
              <w:tab/>
            </w:r>
            <w:r w:rsidR="0091625B">
              <w:rPr>
                <w:webHidden/>
              </w:rPr>
              <w:fldChar w:fldCharType="begin"/>
            </w:r>
            <w:r w:rsidR="0091625B">
              <w:rPr>
                <w:webHidden/>
              </w:rPr>
              <w:instrText xml:space="preserve"> PAGEREF _Toc511597560 \h </w:instrText>
            </w:r>
            <w:r w:rsidR="0091625B">
              <w:rPr>
                <w:webHidden/>
              </w:rPr>
            </w:r>
            <w:r w:rsidR="0091625B">
              <w:rPr>
                <w:webHidden/>
              </w:rPr>
              <w:fldChar w:fldCharType="separate"/>
            </w:r>
            <w:r w:rsidR="008C4E6D">
              <w:rPr>
                <w:webHidden/>
              </w:rPr>
              <w:t>25</w:t>
            </w:r>
            <w:r w:rsidR="0091625B">
              <w:rPr>
                <w:webHidden/>
              </w:rPr>
              <w:fldChar w:fldCharType="end"/>
            </w:r>
          </w:hyperlink>
        </w:p>
        <w:p w14:paraId="1F20F30F" w14:textId="77777777" w:rsidR="0091625B" w:rsidRDefault="00437D23">
          <w:pPr>
            <w:pStyle w:val="TOC3"/>
            <w:rPr>
              <w:rFonts w:asciiTheme="minorHAnsi" w:eastAsiaTheme="minorEastAsia" w:hAnsiTheme="minorHAnsi"/>
              <w:b w:val="0"/>
            </w:rPr>
          </w:pPr>
          <w:hyperlink w:anchor="_Toc511597561" w:history="1">
            <w:r w:rsidR="0091625B" w:rsidRPr="00B57964">
              <w:rPr>
                <w:rStyle w:val="Hyperlink"/>
              </w:rPr>
              <w:t>Key Questions:  State Policies to Support Local Employer Engagement</w:t>
            </w:r>
            <w:r w:rsidR="0091625B">
              <w:rPr>
                <w:webHidden/>
              </w:rPr>
              <w:tab/>
            </w:r>
            <w:r w:rsidR="0091625B">
              <w:rPr>
                <w:webHidden/>
              </w:rPr>
              <w:fldChar w:fldCharType="begin"/>
            </w:r>
            <w:r w:rsidR="0091625B">
              <w:rPr>
                <w:webHidden/>
              </w:rPr>
              <w:instrText xml:space="preserve"> PAGEREF _Toc511597561 \h </w:instrText>
            </w:r>
            <w:r w:rsidR="0091625B">
              <w:rPr>
                <w:webHidden/>
              </w:rPr>
            </w:r>
            <w:r w:rsidR="0091625B">
              <w:rPr>
                <w:webHidden/>
              </w:rPr>
              <w:fldChar w:fldCharType="separate"/>
            </w:r>
            <w:r w:rsidR="008C4E6D">
              <w:rPr>
                <w:webHidden/>
              </w:rPr>
              <w:t>27</w:t>
            </w:r>
            <w:r w:rsidR="0091625B">
              <w:rPr>
                <w:webHidden/>
              </w:rPr>
              <w:fldChar w:fldCharType="end"/>
            </w:r>
          </w:hyperlink>
        </w:p>
        <w:p w14:paraId="4E1950ED" w14:textId="77777777" w:rsidR="0091625B" w:rsidRDefault="00437D23">
          <w:pPr>
            <w:pStyle w:val="TOC2"/>
            <w:tabs>
              <w:tab w:val="right" w:leader="dot" w:pos="9350"/>
            </w:tabs>
            <w:rPr>
              <w:rFonts w:asciiTheme="minorHAnsi" w:eastAsiaTheme="minorEastAsia" w:hAnsiTheme="minorHAnsi"/>
              <w:noProof/>
            </w:rPr>
          </w:pPr>
          <w:hyperlink w:anchor="_Toc511597562" w:history="1">
            <w:r w:rsidR="0091625B" w:rsidRPr="00B57964">
              <w:rPr>
                <w:rStyle w:val="Hyperlink"/>
                <w:noProof/>
                <w:lang w:val="en-GB"/>
              </w:rPr>
              <w:t>Section 2: Local Advisory Committees</w:t>
            </w:r>
            <w:r w:rsidR="0091625B">
              <w:rPr>
                <w:noProof/>
                <w:webHidden/>
              </w:rPr>
              <w:tab/>
            </w:r>
            <w:r w:rsidR="0091625B">
              <w:rPr>
                <w:noProof/>
                <w:webHidden/>
              </w:rPr>
              <w:fldChar w:fldCharType="begin"/>
            </w:r>
            <w:r w:rsidR="0091625B">
              <w:rPr>
                <w:noProof/>
                <w:webHidden/>
              </w:rPr>
              <w:instrText xml:space="preserve"> PAGEREF _Toc511597562 \h </w:instrText>
            </w:r>
            <w:r w:rsidR="0091625B">
              <w:rPr>
                <w:noProof/>
                <w:webHidden/>
              </w:rPr>
            </w:r>
            <w:r w:rsidR="0091625B">
              <w:rPr>
                <w:noProof/>
                <w:webHidden/>
              </w:rPr>
              <w:fldChar w:fldCharType="separate"/>
            </w:r>
            <w:r w:rsidR="008C4E6D">
              <w:rPr>
                <w:noProof/>
                <w:webHidden/>
              </w:rPr>
              <w:t>28</w:t>
            </w:r>
            <w:r w:rsidR="0091625B">
              <w:rPr>
                <w:noProof/>
                <w:webHidden/>
              </w:rPr>
              <w:fldChar w:fldCharType="end"/>
            </w:r>
          </w:hyperlink>
        </w:p>
        <w:p w14:paraId="3C428311" w14:textId="77777777" w:rsidR="0091625B" w:rsidRDefault="00437D23">
          <w:pPr>
            <w:pStyle w:val="TOC3"/>
            <w:rPr>
              <w:rFonts w:asciiTheme="minorHAnsi" w:eastAsiaTheme="minorEastAsia" w:hAnsiTheme="minorHAnsi"/>
              <w:b w:val="0"/>
            </w:rPr>
          </w:pPr>
          <w:hyperlink w:anchor="_Toc511597563" w:history="1">
            <w:r w:rsidR="0091625B" w:rsidRPr="00B57964">
              <w:rPr>
                <w:rStyle w:val="Hyperlink"/>
              </w:rPr>
              <w:t>Local Advisory Committees</w:t>
            </w:r>
            <w:r w:rsidR="0091625B">
              <w:rPr>
                <w:webHidden/>
              </w:rPr>
              <w:tab/>
            </w:r>
            <w:r w:rsidR="0091625B">
              <w:rPr>
                <w:webHidden/>
              </w:rPr>
              <w:fldChar w:fldCharType="begin"/>
            </w:r>
            <w:r w:rsidR="0091625B">
              <w:rPr>
                <w:webHidden/>
              </w:rPr>
              <w:instrText xml:space="preserve"> PAGEREF _Toc511597563 \h </w:instrText>
            </w:r>
            <w:r w:rsidR="0091625B">
              <w:rPr>
                <w:webHidden/>
              </w:rPr>
            </w:r>
            <w:r w:rsidR="0091625B">
              <w:rPr>
                <w:webHidden/>
              </w:rPr>
              <w:fldChar w:fldCharType="separate"/>
            </w:r>
            <w:r w:rsidR="008C4E6D">
              <w:rPr>
                <w:webHidden/>
              </w:rPr>
              <w:t>28</w:t>
            </w:r>
            <w:r w:rsidR="0091625B">
              <w:rPr>
                <w:webHidden/>
              </w:rPr>
              <w:fldChar w:fldCharType="end"/>
            </w:r>
          </w:hyperlink>
        </w:p>
        <w:p w14:paraId="5EAAFD63" w14:textId="77777777" w:rsidR="0091625B" w:rsidRDefault="00437D23">
          <w:pPr>
            <w:pStyle w:val="TOC3"/>
            <w:rPr>
              <w:rFonts w:asciiTheme="minorHAnsi" w:eastAsiaTheme="minorEastAsia" w:hAnsiTheme="minorHAnsi"/>
              <w:b w:val="0"/>
            </w:rPr>
          </w:pPr>
          <w:hyperlink w:anchor="_Toc511597564" w:history="1">
            <w:r w:rsidR="0091625B" w:rsidRPr="00B57964">
              <w:rPr>
                <w:rStyle w:val="Hyperlink"/>
              </w:rPr>
              <w:t>Key Questions:  Local Advisory Committees</w:t>
            </w:r>
            <w:r w:rsidR="0091625B">
              <w:rPr>
                <w:webHidden/>
              </w:rPr>
              <w:tab/>
            </w:r>
            <w:r w:rsidR="0091625B">
              <w:rPr>
                <w:webHidden/>
              </w:rPr>
              <w:fldChar w:fldCharType="begin"/>
            </w:r>
            <w:r w:rsidR="0091625B">
              <w:rPr>
                <w:webHidden/>
              </w:rPr>
              <w:instrText xml:space="preserve"> PAGEREF _Toc511597564 \h </w:instrText>
            </w:r>
            <w:r w:rsidR="0091625B">
              <w:rPr>
                <w:webHidden/>
              </w:rPr>
            </w:r>
            <w:r w:rsidR="0091625B">
              <w:rPr>
                <w:webHidden/>
              </w:rPr>
              <w:fldChar w:fldCharType="separate"/>
            </w:r>
            <w:r w:rsidR="008C4E6D">
              <w:rPr>
                <w:webHidden/>
              </w:rPr>
              <w:t>29</w:t>
            </w:r>
            <w:r w:rsidR="0091625B">
              <w:rPr>
                <w:webHidden/>
              </w:rPr>
              <w:fldChar w:fldCharType="end"/>
            </w:r>
          </w:hyperlink>
        </w:p>
        <w:p w14:paraId="60C7B37A" w14:textId="77777777" w:rsidR="0091625B" w:rsidRDefault="00437D23">
          <w:pPr>
            <w:pStyle w:val="TOC2"/>
            <w:tabs>
              <w:tab w:val="right" w:leader="dot" w:pos="9350"/>
            </w:tabs>
            <w:rPr>
              <w:rFonts w:asciiTheme="minorHAnsi" w:eastAsiaTheme="minorEastAsia" w:hAnsiTheme="minorHAnsi"/>
              <w:noProof/>
            </w:rPr>
          </w:pPr>
          <w:hyperlink w:anchor="_Toc511597565" w:history="1">
            <w:r w:rsidR="0091625B" w:rsidRPr="00B57964">
              <w:rPr>
                <w:rStyle w:val="Hyperlink"/>
                <w:noProof/>
                <w:lang w:val="en-GB"/>
              </w:rPr>
              <w:t>Section 3: Cultivating CTE Champions</w:t>
            </w:r>
            <w:r w:rsidR="0091625B">
              <w:rPr>
                <w:noProof/>
                <w:webHidden/>
              </w:rPr>
              <w:tab/>
            </w:r>
            <w:r w:rsidR="0091625B">
              <w:rPr>
                <w:noProof/>
                <w:webHidden/>
              </w:rPr>
              <w:fldChar w:fldCharType="begin"/>
            </w:r>
            <w:r w:rsidR="0091625B">
              <w:rPr>
                <w:noProof/>
                <w:webHidden/>
              </w:rPr>
              <w:instrText xml:space="preserve"> PAGEREF _Toc511597565 \h </w:instrText>
            </w:r>
            <w:r w:rsidR="0091625B">
              <w:rPr>
                <w:noProof/>
                <w:webHidden/>
              </w:rPr>
            </w:r>
            <w:r w:rsidR="0091625B">
              <w:rPr>
                <w:noProof/>
                <w:webHidden/>
              </w:rPr>
              <w:fldChar w:fldCharType="separate"/>
            </w:r>
            <w:r w:rsidR="008C4E6D">
              <w:rPr>
                <w:noProof/>
                <w:webHidden/>
              </w:rPr>
              <w:t>30</w:t>
            </w:r>
            <w:r w:rsidR="0091625B">
              <w:rPr>
                <w:noProof/>
                <w:webHidden/>
              </w:rPr>
              <w:fldChar w:fldCharType="end"/>
            </w:r>
          </w:hyperlink>
        </w:p>
        <w:p w14:paraId="683D3A77" w14:textId="77777777" w:rsidR="0091625B" w:rsidRDefault="00437D23">
          <w:pPr>
            <w:pStyle w:val="TOC3"/>
            <w:rPr>
              <w:rFonts w:asciiTheme="minorHAnsi" w:eastAsiaTheme="minorEastAsia" w:hAnsiTheme="minorHAnsi"/>
              <w:b w:val="0"/>
            </w:rPr>
          </w:pPr>
          <w:hyperlink w:anchor="_Toc511597566" w:history="1">
            <w:r w:rsidR="0091625B" w:rsidRPr="00B57964">
              <w:rPr>
                <w:rStyle w:val="Hyperlink"/>
              </w:rPr>
              <w:t>Cultivating CTE Champions</w:t>
            </w:r>
            <w:r w:rsidR="0091625B">
              <w:rPr>
                <w:webHidden/>
              </w:rPr>
              <w:tab/>
            </w:r>
            <w:r w:rsidR="0091625B">
              <w:rPr>
                <w:webHidden/>
              </w:rPr>
              <w:fldChar w:fldCharType="begin"/>
            </w:r>
            <w:r w:rsidR="0091625B">
              <w:rPr>
                <w:webHidden/>
              </w:rPr>
              <w:instrText xml:space="preserve"> PAGEREF _Toc511597566 \h </w:instrText>
            </w:r>
            <w:r w:rsidR="0091625B">
              <w:rPr>
                <w:webHidden/>
              </w:rPr>
            </w:r>
            <w:r w:rsidR="0091625B">
              <w:rPr>
                <w:webHidden/>
              </w:rPr>
              <w:fldChar w:fldCharType="separate"/>
            </w:r>
            <w:r w:rsidR="008C4E6D">
              <w:rPr>
                <w:webHidden/>
              </w:rPr>
              <w:t>30</w:t>
            </w:r>
            <w:r w:rsidR="0091625B">
              <w:rPr>
                <w:webHidden/>
              </w:rPr>
              <w:fldChar w:fldCharType="end"/>
            </w:r>
          </w:hyperlink>
        </w:p>
        <w:p w14:paraId="0FF8DDB2" w14:textId="77777777" w:rsidR="0091625B" w:rsidRDefault="00437D23">
          <w:pPr>
            <w:pStyle w:val="TOC3"/>
            <w:rPr>
              <w:rFonts w:asciiTheme="minorHAnsi" w:eastAsiaTheme="minorEastAsia" w:hAnsiTheme="minorHAnsi"/>
              <w:b w:val="0"/>
            </w:rPr>
          </w:pPr>
          <w:hyperlink w:anchor="_Toc511597567" w:history="1">
            <w:r w:rsidR="0091625B" w:rsidRPr="00B57964">
              <w:rPr>
                <w:rStyle w:val="Hyperlink"/>
              </w:rPr>
              <w:t>Key Questions:  Cultivating CTE Champions</w:t>
            </w:r>
            <w:r w:rsidR="0091625B">
              <w:rPr>
                <w:webHidden/>
              </w:rPr>
              <w:tab/>
            </w:r>
            <w:r w:rsidR="0091625B">
              <w:rPr>
                <w:webHidden/>
              </w:rPr>
              <w:fldChar w:fldCharType="begin"/>
            </w:r>
            <w:r w:rsidR="0091625B">
              <w:rPr>
                <w:webHidden/>
              </w:rPr>
              <w:instrText xml:space="preserve"> PAGEREF _Toc511597567 \h </w:instrText>
            </w:r>
            <w:r w:rsidR="0091625B">
              <w:rPr>
                <w:webHidden/>
              </w:rPr>
            </w:r>
            <w:r w:rsidR="0091625B">
              <w:rPr>
                <w:webHidden/>
              </w:rPr>
              <w:fldChar w:fldCharType="separate"/>
            </w:r>
            <w:r w:rsidR="008C4E6D">
              <w:rPr>
                <w:webHidden/>
              </w:rPr>
              <w:t>31</w:t>
            </w:r>
            <w:r w:rsidR="0091625B">
              <w:rPr>
                <w:webHidden/>
              </w:rPr>
              <w:fldChar w:fldCharType="end"/>
            </w:r>
          </w:hyperlink>
        </w:p>
        <w:p w14:paraId="595DAFCF" w14:textId="77777777" w:rsidR="0091625B" w:rsidRDefault="00437D23">
          <w:pPr>
            <w:pStyle w:val="TOC1"/>
            <w:tabs>
              <w:tab w:val="right" w:leader="dot" w:pos="9350"/>
            </w:tabs>
            <w:rPr>
              <w:rFonts w:asciiTheme="minorHAnsi" w:eastAsiaTheme="minorEastAsia" w:hAnsiTheme="minorHAnsi"/>
              <w:noProof/>
            </w:rPr>
          </w:pPr>
          <w:hyperlink w:anchor="_Toc511597568" w:history="1">
            <w:r w:rsidR="0091625B" w:rsidRPr="00B57964">
              <w:rPr>
                <w:rStyle w:val="Hyperlink"/>
                <w:rFonts w:eastAsiaTheme="majorEastAsia" w:cstheme="majorBidi"/>
                <w:b/>
                <w:noProof/>
              </w:rPr>
              <w:t>Final Reflections &amp; Next Steps</w:t>
            </w:r>
            <w:r w:rsidR="0091625B">
              <w:rPr>
                <w:noProof/>
                <w:webHidden/>
              </w:rPr>
              <w:tab/>
            </w:r>
            <w:r w:rsidR="0091625B">
              <w:rPr>
                <w:noProof/>
                <w:webHidden/>
              </w:rPr>
              <w:fldChar w:fldCharType="begin"/>
            </w:r>
            <w:r w:rsidR="0091625B">
              <w:rPr>
                <w:noProof/>
                <w:webHidden/>
              </w:rPr>
              <w:instrText xml:space="preserve"> PAGEREF _Toc511597568 \h </w:instrText>
            </w:r>
            <w:r w:rsidR="0091625B">
              <w:rPr>
                <w:noProof/>
                <w:webHidden/>
              </w:rPr>
            </w:r>
            <w:r w:rsidR="0091625B">
              <w:rPr>
                <w:noProof/>
                <w:webHidden/>
              </w:rPr>
              <w:fldChar w:fldCharType="separate"/>
            </w:r>
            <w:r w:rsidR="008C4E6D">
              <w:rPr>
                <w:noProof/>
                <w:webHidden/>
              </w:rPr>
              <w:t>32</w:t>
            </w:r>
            <w:r w:rsidR="0091625B">
              <w:rPr>
                <w:noProof/>
                <w:webHidden/>
              </w:rPr>
              <w:fldChar w:fldCharType="end"/>
            </w:r>
          </w:hyperlink>
        </w:p>
        <w:p w14:paraId="7A2E703D" w14:textId="77777777" w:rsidR="0091625B" w:rsidRDefault="00437D23">
          <w:pPr>
            <w:pStyle w:val="TOC1"/>
            <w:tabs>
              <w:tab w:val="right" w:leader="dot" w:pos="9350"/>
            </w:tabs>
            <w:rPr>
              <w:rFonts w:asciiTheme="minorHAnsi" w:eastAsiaTheme="minorEastAsia" w:hAnsiTheme="minorHAnsi"/>
              <w:noProof/>
            </w:rPr>
          </w:pPr>
          <w:hyperlink w:anchor="_Toc511597569" w:history="1">
            <w:r w:rsidR="0091625B" w:rsidRPr="00B57964">
              <w:rPr>
                <w:rStyle w:val="Hyperlink"/>
                <w:b/>
                <w:noProof/>
              </w:rPr>
              <w:t>Appendix A: Planning Chart</w:t>
            </w:r>
            <w:r w:rsidR="0091625B">
              <w:rPr>
                <w:noProof/>
                <w:webHidden/>
              </w:rPr>
              <w:tab/>
            </w:r>
            <w:r w:rsidR="0091625B">
              <w:rPr>
                <w:noProof/>
                <w:webHidden/>
              </w:rPr>
              <w:fldChar w:fldCharType="begin"/>
            </w:r>
            <w:r w:rsidR="0091625B">
              <w:rPr>
                <w:noProof/>
                <w:webHidden/>
              </w:rPr>
              <w:instrText xml:space="preserve"> PAGEREF _Toc511597569 \h </w:instrText>
            </w:r>
            <w:r w:rsidR="0091625B">
              <w:rPr>
                <w:noProof/>
                <w:webHidden/>
              </w:rPr>
            </w:r>
            <w:r w:rsidR="0091625B">
              <w:rPr>
                <w:noProof/>
                <w:webHidden/>
              </w:rPr>
              <w:fldChar w:fldCharType="separate"/>
            </w:r>
            <w:r w:rsidR="008C4E6D">
              <w:rPr>
                <w:noProof/>
                <w:webHidden/>
              </w:rPr>
              <w:t>33</w:t>
            </w:r>
            <w:r w:rsidR="0091625B">
              <w:rPr>
                <w:noProof/>
                <w:webHidden/>
              </w:rPr>
              <w:fldChar w:fldCharType="end"/>
            </w:r>
          </w:hyperlink>
        </w:p>
        <w:p w14:paraId="78040110" w14:textId="0EC5A5F4" w:rsidR="00355AD9" w:rsidRDefault="00606BD0" w:rsidP="00353498">
          <w:r>
            <w:rPr>
              <w:b/>
              <w:bCs/>
              <w:noProof/>
            </w:rPr>
            <w:fldChar w:fldCharType="end"/>
          </w:r>
        </w:p>
      </w:sdtContent>
    </w:sdt>
    <w:p w14:paraId="4CA9BE5E" w14:textId="77777777" w:rsidR="00355AD9" w:rsidRDefault="00355AD9" w:rsidP="00353498">
      <w:pPr>
        <w:rPr>
          <w:color w:val="000000" w:themeColor="text1"/>
        </w:rPr>
      </w:pPr>
      <w:r>
        <w:rPr>
          <w:color w:val="000000" w:themeColor="text1"/>
        </w:rPr>
        <w:br w:type="page"/>
      </w:r>
    </w:p>
    <w:p w14:paraId="26F90A38" w14:textId="77777777" w:rsidR="001A4AE9" w:rsidRPr="001A4AE9" w:rsidRDefault="001A4AE9" w:rsidP="00353498">
      <w:pPr>
        <w:pStyle w:val="Style1"/>
        <w:numPr>
          <w:ilvl w:val="0"/>
          <w:numId w:val="0"/>
        </w:numPr>
        <w:rPr>
          <w:b/>
        </w:rPr>
      </w:pPr>
      <w:bookmarkStart w:id="4" w:name="_Toc511597538"/>
      <w:r>
        <w:rPr>
          <w:b/>
        </w:rPr>
        <w:lastRenderedPageBreak/>
        <w:t>How to Use the Modules</w:t>
      </w:r>
      <w:bookmarkEnd w:id="4"/>
    </w:p>
    <w:p w14:paraId="3B09D9AA" w14:textId="5C02E15A" w:rsidR="001A4AE9" w:rsidRDefault="001A4AE9" w:rsidP="00353498">
      <w:r>
        <w:t xml:space="preserve">The New State Director Leadership Program is designed to fit the natural learning curve of new State CTE Directors as they explore their state CTE system as well as the policies and decisions that undergird it. To that end, Advance CTE has developed a 12-month curriculum with two in-person meetings, two webinars and intermittent optional phone calls to provide comprehensive supports to these new leaders. The program, with its curriculum, touchpoints and mentorship, is designed to allow new State Directors to access the support they need when they need it. </w:t>
      </w:r>
    </w:p>
    <w:p w14:paraId="03F02800" w14:textId="77777777" w:rsidR="001A4AE9" w:rsidRDefault="001A4AE9" w:rsidP="00353498"/>
    <w:p w14:paraId="2F3B484A" w14:textId="77777777" w:rsidR="001A4AE9" w:rsidRDefault="001A4AE9" w:rsidP="00353498">
      <w:r>
        <w:t>This module is part of the 12-month curriculum</w:t>
      </w:r>
      <w:r w:rsidR="000C763C">
        <w:t xml:space="preserve"> that </w:t>
      </w:r>
      <w:r>
        <w:t xml:space="preserve">is designed to help you be inquisitive about your state’s current “state of play,” evaluate the responses and information you gather, see what gaps exist and determine if, how and when you may want to take action. By answering the guiding questions and adding data where appropriate, you will be able to better visualize both where you are currently and where you want to take your state system. </w:t>
      </w:r>
    </w:p>
    <w:p w14:paraId="105112E1" w14:textId="77777777" w:rsidR="001A4AE9" w:rsidRDefault="001A4AE9" w:rsidP="00353498"/>
    <w:p w14:paraId="114E0CF8" w14:textId="0DC1727F" w:rsidR="001A4AE9" w:rsidRDefault="001A4AE9" w:rsidP="00353498">
      <w:r>
        <w:t xml:space="preserve">The modules are laid out to help you organize your thoughts and guide effective discussions with </w:t>
      </w:r>
      <w:r w:rsidR="00E33E5B">
        <w:t xml:space="preserve">both </w:t>
      </w:r>
      <w:r>
        <w:t>your mentor and Advance CTE staff who can help you consider and benchmark your findings, as well as provide resources, support and targeted technical assistance as you work your way through the modules.</w:t>
      </w:r>
    </w:p>
    <w:p w14:paraId="7A5447A7" w14:textId="77777777" w:rsidR="001A4AE9" w:rsidRDefault="001A4AE9" w:rsidP="00353498"/>
    <w:p w14:paraId="0E4DCF67" w14:textId="51522F81" w:rsidR="001A4AE9" w:rsidRPr="00D47F2E" w:rsidRDefault="001A4AE9" w:rsidP="00353498">
      <w:pPr>
        <w:rPr>
          <w:i/>
        </w:rPr>
      </w:pPr>
      <w:r>
        <w:rPr>
          <w:i/>
        </w:rPr>
        <w:t xml:space="preserve">Disclaimer:  The modules do not </w:t>
      </w:r>
      <w:r w:rsidRPr="00D47F2E">
        <w:rPr>
          <w:i/>
        </w:rPr>
        <w:t xml:space="preserve">constitute or replace legal advice. We encourage you to check with any relevant state and federal guidance and regulatory requirements to ensure compliance. Further, the examples listed </w:t>
      </w:r>
      <w:r>
        <w:rPr>
          <w:i/>
        </w:rPr>
        <w:t>within</w:t>
      </w:r>
      <w:r w:rsidRPr="00D47F2E">
        <w:rPr>
          <w:i/>
        </w:rPr>
        <w:t xml:space="preserve"> are not endorsements nor should </w:t>
      </w:r>
      <w:r w:rsidR="00E33E5B">
        <w:rPr>
          <w:i/>
        </w:rPr>
        <w:t xml:space="preserve">they </w:t>
      </w:r>
      <w:r w:rsidRPr="00D47F2E">
        <w:rPr>
          <w:i/>
        </w:rPr>
        <w:t xml:space="preserve">be </w:t>
      </w:r>
      <w:r>
        <w:rPr>
          <w:i/>
        </w:rPr>
        <w:t>considered a comprehensive list.</w:t>
      </w:r>
    </w:p>
    <w:p w14:paraId="5A1A4E1A" w14:textId="77777777" w:rsidR="001A4AE9" w:rsidRDefault="001A4AE9" w:rsidP="00353498">
      <w:pPr>
        <w:tabs>
          <w:tab w:val="left" w:pos="1410"/>
        </w:tabs>
      </w:pPr>
      <w:r>
        <w:tab/>
      </w:r>
    </w:p>
    <w:p w14:paraId="3E331150" w14:textId="77777777" w:rsidR="001A4AE9" w:rsidRDefault="001A4AE9" w:rsidP="00353498">
      <w:pPr>
        <w:spacing w:after="160"/>
        <w:rPr>
          <w:rFonts w:eastAsiaTheme="majorEastAsia" w:cstheme="majorBidi"/>
          <w:b/>
          <w:noProof/>
          <w:color w:val="009AA6"/>
          <w:sz w:val="32"/>
          <w:szCs w:val="32"/>
        </w:rPr>
      </w:pPr>
      <w:bookmarkStart w:id="5" w:name="_Toc495335820"/>
      <w:r>
        <w:rPr>
          <w:b/>
        </w:rPr>
        <w:br w:type="page"/>
      </w:r>
    </w:p>
    <w:p w14:paraId="482C0A0C" w14:textId="77777777" w:rsidR="001A4AE9" w:rsidRDefault="001A4AE9" w:rsidP="00353498">
      <w:pPr>
        <w:pStyle w:val="Style1"/>
        <w:numPr>
          <w:ilvl w:val="0"/>
          <w:numId w:val="0"/>
        </w:numPr>
        <w:rPr>
          <w:b/>
        </w:rPr>
      </w:pPr>
      <w:bookmarkStart w:id="6" w:name="_Toc511597539"/>
      <w:r w:rsidRPr="001A4AE9">
        <w:rPr>
          <w:b/>
        </w:rPr>
        <w:lastRenderedPageBreak/>
        <w:t>Module Objectives</w:t>
      </w:r>
      <w:bookmarkEnd w:id="5"/>
      <w:r>
        <w:rPr>
          <w:b/>
        </w:rPr>
        <w:t xml:space="preserve"> &amp; Pre-Module Survey</w:t>
      </w:r>
      <w:bookmarkEnd w:id="6"/>
    </w:p>
    <w:p w14:paraId="5C8A3BFC" w14:textId="77777777" w:rsidR="001A4AE9" w:rsidRDefault="001A4AE9" w:rsidP="00353498">
      <w:pPr>
        <w:pStyle w:val="NoSpacing"/>
        <w:spacing w:before="120"/>
      </w:pPr>
      <w:bookmarkStart w:id="7" w:name="_Toc511597540"/>
      <w:r w:rsidRPr="00993197">
        <w:rPr>
          <w:rStyle w:val="Heading2Char"/>
        </w:rPr>
        <w:t>Module Objectives</w:t>
      </w:r>
      <w:bookmarkEnd w:id="7"/>
      <w:r w:rsidRPr="00433592">
        <w:rPr>
          <w:b/>
          <w:i/>
          <w:color w:val="FF6D14"/>
          <w:sz w:val="24"/>
        </w:rPr>
        <w:br/>
      </w:r>
      <w:r w:rsidR="00472783">
        <w:t>This module is designe</w:t>
      </w:r>
      <w:r w:rsidR="00A57288">
        <w:t>d to help you take action around employer engagement</w:t>
      </w:r>
      <w:r w:rsidR="00472783">
        <w:t>, primarily by:</w:t>
      </w:r>
    </w:p>
    <w:p w14:paraId="3E2C1348" w14:textId="663DD879" w:rsidR="008E0554" w:rsidRDefault="008E0554" w:rsidP="00353498">
      <w:pPr>
        <w:pStyle w:val="ListParagraph"/>
        <w:numPr>
          <w:ilvl w:val="0"/>
          <w:numId w:val="40"/>
        </w:numPr>
        <w:spacing w:after="160"/>
        <w:ind w:left="360"/>
      </w:pPr>
      <w:r>
        <w:t>Review</w:t>
      </w:r>
      <w:r w:rsidR="006B6830">
        <w:t>ing</w:t>
      </w:r>
      <w:r>
        <w:t xml:space="preserve"> the ways in which your state currently</w:t>
      </w:r>
      <w:r w:rsidR="00E33E5B">
        <w:t xml:space="preserve"> directly</w:t>
      </w:r>
      <w:r>
        <w:t xml:space="preserve"> engages</w:t>
      </w:r>
      <w:r w:rsidR="006B6830">
        <w:t xml:space="preserve"> and partners</w:t>
      </w:r>
      <w:r>
        <w:t xml:space="preserve"> with employers</w:t>
      </w:r>
      <w:r w:rsidR="006B6830">
        <w:t xml:space="preserve"> </w:t>
      </w:r>
      <w:r w:rsidR="00E33E5B">
        <w:t xml:space="preserve">as well as </w:t>
      </w:r>
      <w:r w:rsidR="006B6830">
        <w:t>supports engagement at the local level;</w:t>
      </w:r>
    </w:p>
    <w:p w14:paraId="3BEC77BD" w14:textId="2D85AAB7" w:rsidR="008E0554" w:rsidRDefault="008E0554" w:rsidP="00353498">
      <w:pPr>
        <w:pStyle w:val="ListParagraph"/>
        <w:numPr>
          <w:ilvl w:val="0"/>
          <w:numId w:val="40"/>
        </w:numPr>
        <w:spacing w:after="160"/>
        <w:ind w:left="360"/>
      </w:pPr>
      <w:r>
        <w:t>Understand</w:t>
      </w:r>
      <w:r w:rsidR="006B6830">
        <w:t>ing</w:t>
      </w:r>
      <w:r>
        <w:t xml:space="preserve"> the role of employers in a strong, aligned state CTE system to meet your state’s workforce needs and economic goals</w:t>
      </w:r>
      <w:r w:rsidR="006B6830">
        <w:t>; and</w:t>
      </w:r>
    </w:p>
    <w:p w14:paraId="79BA6B8B" w14:textId="7BF30BD6" w:rsidR="008E0554" w:rsidRDefault="008E0554" w:rsidP="00353498">
      <w:pPr>
        <w:pStyle w:val="ListParagraph"/>
        <w:numPr>
          <w:ilvl w:val="0"/>
          <w:numId w:val="40"/>
        </w:numPr>
        <w:spacing w:after="160"/>
        <w:ind w:left="360"/>
      </w:pPr>
      <w:r>
        <w:t>Learn</w:t>
      </w:r>
      <w:r w:rsidR="006B6830">
        <w:t>ing</w:t>
      </w:r>
      <w:r>
        <w:t xml:space="preserve"> about strategies to partner and sustain engagement with employers at the state and local level.</w:t>
      </w:r>
    </w:p>
    <w:p w14:paraId="7FBCA42F" w14:textId="77777777" w:rsidR="001A4AE9" w:rsidRDefault="001A4AE9" w:rsidP="00353498"/>
    <w:p w14:paraId="02F3A679" w14:textId="77777777" w:rsidR="001A4AE9" w:rsidRPr="00433592" w:rsidRDefault="001A4AE9" w:rsidP="00353498">
      <w:pPr>
        <w:pStyle w:val="NoSpacing"/>
        <w:rPr>
          <w:b/>
          <w:i/>
          <w:color w:val="FF6D14"/>
          <w:sz w:val="24"/>
        </w:rPr>
      </w:pPr>
      <w:r w:rsidRPr="00433592">
        <w:rPr>
          <w:b/>
          <w:i/>
          <w:color w:val="FF6D14"/>
          <w:sz w:val="24"/>
        </w:rPr>
        <w:t>Pre-module Survey</w:t>
      </w:r>
    </w:p>
    <w:p w14:paraId="58462C20" w14:textId="77777777" w:rsidR="001A4AE9" w:rsidRDefault="001A4AE9" w:rsidP="00353498">
      <w:r>
        <w:t>To begin this module, please take this brief self-assessment</w:t>
      </w:r>
      <w:r w:rsidR="00472783">
        <w:t>, and choose the “</w:t>
      </w:r>
      <w:r w:rsidR="00A57288">
        <w:t>Employer Engagement</w:t>
      </w:r>
      <w:r w:rsidR="00472783">
        <w:t xml:space="preserve">” option: </w:t>
      </w:r>
      <w:hyperlink r:id="rId9" w:history="1">
        <w:r w:rsidRPr="002B5A60">
          <w:rPr>
            <w:rStyle w:val="Hyperlink"/>
          </w:rPr>
          <w:t>https://www.surveymonkey.com/r/NewSDpre-test</w:t>
        </w:r>
      </w:hyperlink>
      <w:r>
        <w:t xml:space="preserve"> </w:t>
      </w:r>
    </w:p>
    <w:p w14:paraId="17179C00" w14:textId="77777777" w:rsidR="001A4AE9" w:rsidRDefault="001A4AE9" w:rsidP="00353498">
      <w:pPr>
        <w:spacing w:after="160"/>
        <w:rPr>
          <w:rFonts w:eastAsiaTheme="majorEastAsia" w:cstheme="majorBidi"/>
          <w:b/>
          <w:noProof/>
          <w:color w:val="009AA6"/>
          <w:sz w:val="32"/>
          <w:szCs w:val="32"/>
        </w:rPr>
      </w:pPr>
      <w:bookmarkStart w:id="8" w:name="_Toc498690708"/>
      <w:r>
        <w:rPr>
          <w:b/>
        </w:rPr>
        <w:br w:type="page"/>
      </w:r>
    </w:p>
    <w:p w14:paraId="7FC86458" w14:textId="77777777" w:rsidR="00FD5859" w:rsidRPr="001A4AE9" w:rsidRDefault="001A4AE9" w:rsidP="00353498">
      <w:pPr>
        <w:pStyle w:val="Style1"/>
        <w:numPr>
          <w:ilvl w:val="0"/>
          <w:numId w:val="0"/>
        </w:numPr>
        <w:ind w:left="720" w:hanging="720"/>
        <w:rPr>
          <w:b/>
        </w:rPr>
      </w:pPr>
      <w:bookmarkStart w:id="9" w:name="_Toc511597541"/>
      <w:r w:rsidRPr="001A4AE9">
        <w:rPr>
          <w:b/>
        </w:rPr>
        <w:lastRenderedPageBreak/>
        <w:t>Getting Started</w:t>
      </w:r>
      <w:bookmarkEnd w:id="8"/>
      <w:bookmarkEnd w:id="9"/>
    </w:p>
    <w:p w14:paraId="45BE7496" w14:textId="77777777" w:rsidR="00FD5859" w:rsidRPr="001A4AE9" w:rsidRDefault="00A57288" w:rsidP="00353498">
      <w:pPr>
        <w:pStyle w:val="Heading2"/>
      </w:pPr>
      <w:bookmarkStart w:id="10" w:name="_Toc511597542"/>
      <w:r>
        <w:t>Employer Engagement</w:t>
      </w:r>
      <w:r w:rsidR="00FD5859" w:rsidRPr="001A4AE9">
        <w:t xml:space="preserve"> Refresher</w:t>
      </w:r>
      <w:bookmarkEnd w:id="10"/>
    </w:p>
    <w:p w14:paraId="368B78A2" w14:textId="77777777" w:rsidR="002C02B3" w:rsidRDefault="00E15B18" w:rsidP="00353498">
      <w:r>
        <w:t>As a first step, w</w:t>
      </w:r>
      <w:r w:rsidR="002C02B3">
        <w:t xml:space="preserve">e encourage you to review these Advance CTE </w:t>
      </w:r>
      <w:r w:rsidR="00AC2016">
        <w:t xml:space="preserve">resources to </w:t>
      </w:r>
      <w:r w:rsidR="00A57288">
        <w:t>understand the current conversations and trends from the field regarding employer engagement</w:t>
      </w:r>
      <w:r w:rsidR="002C02B3">
        <w:t>:</w:t>
      </w:r>
    </w:p>
    <w:p w14:paraId="1F9FA609" w14:textId="77777777" w:rsidR="002C02B3" w:rsidRDefault="00437D23" w:rsidP="00353498">
      <w:pPr>
        <w:pStyle w:val="ListParagraph"/>
        <w:numPr>
          <w:ilvl w:val="0"/>
          <w:numId w:val="39"/>
        </w:numPr>
        <w:ind w:left="360"/>
      </w:pPr>
      <w:hyperlink r:id="rId10" w:history="1">
        <w:r w:rsidR="00A57288" w:rsidRPr="00A00144">
          <w:rPr>
            <w:rStyle w:val="Hyperlink"/>
            <w:i/>
          </w:rPr>
          <w:t>The State of Career Technical Education: Employer Engagement in CTE</w:t>
        </w:r>
      </w:hyperlink>
      <w:r w:rsidR="00A57288">
        <w:t xml:space="preserve"> (2015)</w:t>
      </w:r>
    </w:p>
    <w:p w14:paraId="4AB1702D" w14:textId="77777777" w:rsidR="00702CCB" w:rsidRPr="00DD0F0E" w:rsidRDefault="00437D23" w:rsidP="00353498">
      <w:pPr>
        <w:pStyle w:val="ListParagraph"/>
        <w:numPr>
          <w:ilvl w:val="0"/>
          <w:numId w:val="39"/>
        </w:numPr>
        <w:ind w:left="360"/>
      </w:pPr>
      <w:hyperlink r:id="rId11" w:history="1">
        <w:r w:rsidR="002C02B3" w:rsidRPr="00A00144">
          <w:rPr>
            <w:rStyle w:val="Hyperlink"/>
            <w:i/>
          </w:rPr>
          <w:t>In Their Words: Why Business Leaders Support CTE, Career Pathways and Career Academies</w:t>
        </w:r>
      </w:hyperlink>
      <w:r w:rsidR="002C02B3" w:rsidRPr="00DD0F0E">
        <w:t xml:space="preserve"> (2016)</w:t>
      </w:r>
    </w:p>
    <w:p w14:paraId="7DB2D929" w14:textId="77777777" w:rsidR="002C02B3" w:rsidRDefault="002C02B3" w:rsidP="00353498"/>
    <w:p w14:paraId="5141FB12" w14:textId="77777777" w:rsidR="002C02B3" w:rsidRDefault="002C02B3" w:rsidP="00353498">
      <w:r>
        <w:t xml:space="preserve">Resources from our partners: </w:t>
      </w:r>
    </w:p>
    <w:p w14:paraId="6B49C112" w14:textId="77777777" w:rsidR="002C02B3" w:rsidRDefault="002C02B3" w:rsidP="00353498">
      <w:pPr>
        <w:pStyle w:val="ListParagraph"/>
        <w:numPr>
          <w:ilvl w:val="0"/>
          <w:numId w:val="39"/>
        </w:numPr>
        <w:ind w:left="360"/>
      </w:pPr>
      <w:r>
        <w:t xml:space="preserve">Jobs for the Future: </w:t>
      </w:r>
      <w:hyperlink r:id="rId12" w:history="1">
        <w:r w:rsidRPr="00A00144">
          <w:rPr>
            <w:rStyle w:val="Hyperlink"/>
            <w:i/>
          </w:rPr>
          <w:t>Employer Engagement Toolkit: From Placement to Partners</w:t>
        </w:r>
      </w:hyperlink>
    </w:p>
    <w:p w14:paraId="0780C016" w14:textId="77777777" w:rsidR="002C02B3" w:rsidRDefault="002C02B3" w:rsidP="00353498">
      <w:pPr>
        <w:pStyle w:val="ListParagraph"/>
        <w:numPr>
          <w:ilvl w:val="0"/>
          <w:numId w:val="39"/>
        </w:numPr>
        <w:ind w:left="360"/>
      </w:pPr>
      <w:r>
        <w:t xml:space="preserve">U.S. Chamber of Commerce Foundation: </w:t>
      </w:r>
      <w:hyperlink r:id="rId13" w:history="1">
        <w:r w:rsidRPr="00993197">
          <w:rPr>
            <w:rStyle w:val="Hyperlink"/>
            <w:i/>
          </w:rPr>
          <w:t>Managing the Talent Pipeline</w:t>
        </w:r>
      </w:hyperlink>
      <w:r>
        <w:t xml:space="preserve"> </w:t>
      </w:r>
    </w:p>
    <w:p w14:paraId="7155B8DF" w14:textId="77777777" w:rsidR="002C02B3" w:rsidRPr="00993197" w:rsidRDefault="002C02B3" w:rsidP="00353498">
      <w:pPr>
        <w:pStyle w:val="ListParagraph"/>
        <w:numPr>
          <w:ilvl w:val="0"/>
          <w:numId w:val="39"/>
        </w:numPr>
        <w:ind w:left="360"/>
        <w:rPr>
          <w:i/>
        </w:rPr>
      </w:pPr>
      <w:r>
        <w:t xml:space="preserve">U.S. Department of Education: </w:t>
      </w:r>
      <w:hyperlink r:id="rId14" w:history="1">
        <w:r w:rsidRPr="00993197">
          <w:rPr>
            <w:rStyle w:val="Hyperlink"/>
            <w:i/>
          </w:rPr>
          <w:t>Tools for Building Employer-Educator Partnerships</w:t>
        </w:r>
      </w:hyperlink>
    </w:p>
    <w:p w14:paraId="00A23BA7" w14:textId="77777777" w:rsidR="002C02B3" w:rsidRDefault="002C02B3" w:rsidP="00353498">
      <w:pPr>
        <w:pStyle w:val="ListParagraph"/>
        <w:ind w:left="360"/>
      </w:pPr>
    </w:p>
    <w:p w14:paraId="6AD713DD" w14:textId="77777777" w:rsidR="00353A7D" w:rsidRPr="00A24EB2" w:rsidRDefault="00353A7D" w:rsidP="00353498">
      <w:pPr>
        <w:pStyle w:val="Heading2"/>
      </w:pPr>
      <w:bookmarkStart w:id="11" w:name="_Toc511597543"/>
      <w:r w:rsidRPr="00A24EB2">
        <w:t>Inventory</w:t>
      </w:r>
      <w:bookmarkEnd w:id="11"/>
    </w:p>
    <w:p w14:paraId="5821E6D8" w14:textId="075AAC86" w:rsidR="00B41607" w:rsidRPr="00353A7D" w:rsidRDefault="008E0554" w:rsidP="00353498">
      <w:r w:rsidRPr="008E0554">
        <w:rPr>
          <w:rStyle w:val="Hyperlink"/>
          <w:noProof/>
        </w:rPr>
        <mc:AlternateContent>
          <mc:Choice Requires="wps">
            <w:drawing>
              <wp:anchor distT="45720" distB="45720" distL="114300" distR="114300" simplePos="0" relativeHeight="251659264" behindDoc="0" locked="0" layoutInCell="1" allowOverlap="1" wp14:anchorId="43433335" wp14:editId="21ADDD5A">
                <wp:simplePos x="0" y="0"/>
                <wp:positionH relativeFrom="column">
                  <wp:posOffset>95250</wp:posOffset>
                </wp:positionH>
                <wp:positionV relativeFrom="paragraph">
                  <wp:posOffset>852805</wp:posOffset>
                </wp:positionV>
                <wp:extent cx="5753100" cy="33813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381375"/>
                        </a:xfrm>
                        <a:prstGeom prst="rect">
                          <a:avLst/>
                        </a:prstGeom>
                        <a:solidFill>
                          <a:schemeClr val="accent2"/>
                        </a:solidFill>
                        <a:ln w="9525">
                          <a:noFill/>
                          <a:miter lim="800000"/>
                          <a:headEnd/>
                          <a:tailEnd/>
                        </a:ln>
                      </wps:spPr>
                      <wps:txbx>
                        <w:txbxContent>
                          <w:p w14:paraId="6CA04AFF" w14:textId="37675917" w:rsidR="00ED4B04" w:rsidRPr="001A4AE9" w:rsidRDefault="00ED4B04" w:rsidP="00AD59F0">
                            <w:pPr>
                              <w:rPr>
                                <w:b/>
                                <w:color w:val="FFFFFF" w:themeColor="background1"/>
                              </w:rPr>
                            </w:pPr>
                            <w:r w:rsidRPr="001A4AE9">
                              <w:rPr>
                                <w:b/>
                                <w:color w:val="FFFFFF" w:themeColor="background1"/>
                              </w:rPr>
                              <w:t>KEY DEFINTION</w:t>
                            </w:r>
                            <w:r>
                              <w:rPr>
                                <w:b/>
                                <w:color w:val="FFFFFF" w:themeColor="background1"/>
                              </w:rPr>
                              <w:t>: EMPLOYER ENGAGEMENT</w:t>
                            </w:r>
                          </w:p>
                          <w:p w14:paraId="3B367374" w14:textId="0E78AFEA" w:rsidR="00ED4B04" w:rsidRDefault="00ED4B04" w:rsidP="00810716">
                            <w:pPr>
                              <w:rPr>
                                <w:color w:val="FFFFFF" w:themeColor="background1"/>
                              </w:rPr>
                            </w:pPr>
                            <w:r>
                              <w:rPr>
                                <w:color w:val="FFFFFF" w:themeColor="background1"/>
                              </w:rPr>
                              <w:t>For the purposes of this module, the collaboration between CTE and the business and industry community is referred to simply as “employer engagement,” which can come in many different forms and vary in levels of intensity and scope. Importantly, we are using “employer” as shorthand for a wide range of business, industry and labor stakeholders – including multinational corporations, locally-owned businesses, industry associations and organized labor. In the context of this module, “employer” simply refers to an individual or organization that can represent the workforce in one or more industries.</w:t>
                            </w:r>
                          </w:p>
                          <w:p w14:paraId="32F7EF33" w14:textId="77777777" w:rsidR="00ED4B04" w:rsidRDefault="00ED4B04" w:rsidP="00810716">
                            <w:pPr>
                              <w:rPr>
                                <w:color w:val="FFFFFF" w:themeColor="background1"/>
                              </w:rPr>
                            </w:pPr>
                          </w:p>
                          <w:p w14:paraId="2A889AE6" w14:textId="77777777" w:rsidR="00ED4B04" w:rsidRPr="001A4AE9" w:rsidRDefault="00ED4B04" w:rsidP="00810716">
                            <w:pPr>
                              <w:rPr>
                                <w:color w:val="FFFFFF" w:themeColor="background1"/>
                              </w:rPr>
                            </w:pPr>
                            <w:r w:rsidRPr="001A4AE9">
                              <w:rPr>
                                <w:color w:val="FFFFFF" w:themeColor="background1"/>
                              </w:rPr>
                              <w:t xml:space="preserve">To help answer the questions below, you may want to have the following information on hand: </w:t>
                            </w:r>
                          </w:p>
                          <w:p w14:paraId="122B74D7" w14:textId="442621C6" w:rsidR="00ED4B04" w:rsidRDefault="00ED4B04" w:rsidP="009A01C7">
                            <w:pPr>
                              <w:pStyle w:val="ListParagraph"/>
                              <w:numPr>
                                <w:ilvl w:val="0"/>
                                <w:numId w:val="2"/>
                              </w:numPr>
                              <w:rPr>
                                <w:color w:val="FFFFFF" w:themeColor="background1"/>
                              </w:rPr>
                            </w:pPr>
                            <w:r w:rsidRPr="001A4AE9">
                              <w:rPr>
                                <w:color w:val="FFFFFF" w:themeColor="background1"/>
                              </w:rPr>
                              <w:t xml:space="preserve">Any </w:t>
                            </w:r>
                            <w:r>
                              <w:rPr>
                                <w:color w:val="FFFFFF" w:themeColor="background1"/>
                              </w:rPr>
                              <w:t xml:space="preserve">state </w:t>
                            </w:r>
                            <w:r w:rsidRPr="001A4AE9">
                              <w:rPr>
                                <w:color w:val="FFFFFF" w:themeColor="background1"/>
                              </w:rPr>
                              <w:t xml:space="preserve">policies </w:t>
                            </w:r>
                            <w:r>
                              <w:rPr>
                                <w:color w:val="FFFFFF" w:themeColor="background1"/>
                              </w:rPr>
                              <w:t>or guidance related to local advisory committees, employer engagement and work-based learning</w:t>
                            </w:r>
                          </w:p>
                          <w:p w14:paraId="0CE4B606" w14:textId="034C6C39" w:rsidR="00ED4B04" w:rsidRPr="0028103F" w:rsidRDefault="00ED4B04" w:rsidP="0028103F">
                            <w:pPr>
                              <w:pStyle w:val="ListParagraph"/>
                              <w:numPr>
                                <w:ilvl w:val="0"/>
                                <w:numId w:val="2"/>
                              </w:numPr>
                              <w:rPr>
                                <w:color w:val="FFFFFF" w:themeColor="background1"/>
                              </w:rPr>
                            </w:pPr>
                            <w:r>
                              <w:rPr>
                                <w:color w:val="FFFFFF" w:themeColor="background1"/>
                              </w:rPr>
                              <w:t xml:space="preserve">Your state policies </w:t>
                            </w:r>
                            <w:r w:rsidRPr="0028103F">
                              <w:rPr>
                                <w:color w:val="FFFFFF" w:themeColor="background1"/>
                              </w:rPr>
                              <w:t>related to program and/or program of study approval, review and funding at the secondary and postsecondary levels</w:t>
                            </w:r>
                          </w:p>
                          <w:p w14:paraId="3D27B9D4" w14:textId="77777777" w:rsidR="00ED4B04" w:rsidRPr="001A4AE9" w:rsidRDefault="00ED4B04" w:rsidP="009A01C7">
                            <w:pPr>
                              <w:pStyle w:val="ListParagraph"/>
                              <w:numPr>
                                <w:ilvl w:val="0"/>
                                <w:numId w:val="2"/>
                              </w:numPr>
                              <w:rPr>
                                <w:color w:val="FFFFFF" w:themeColor="background1"/>
                              </w:rPr>
                            </w:pPr>
                            <w:r w:rsidRPr="001A4AE9">
                              <w:rPr>
                                <w:color w:val="FFFFFF" w:themeColor="background1"/>
                              </w:rPr>
                              <w:t>Your state plan</w:t>
                            </w:r>
                            <w:r>
                              <w:rPr>
                                <w:color w:val="FFFFFF" w:themeColor="background1"/>
                              </w:rPr>
                              <w:t xml:space="preserve"> for the Carl D. Perkins Career and Technical Education Act of 2006 (Perkins)</w:t>
                            </w:r>
                          </w:p>
                          <w:p w14:paraId="3810D5F4" w14:textId="77777777" w:rsidR="00ED4B04" w:rsidRPr="001A4AE9" w:rsidRDefault="00ED4B04" w:rsidP="009A01C7">
                            <w:pPr>
                              <w:pStyle w:val="ListParagraph"/>
                              <w:numPr>
                                <w:ilvl w:val="0"/>
                                <w:numId w:val="2"/>
                              </w:numPr>
                              <w:rPr>
                                <w:color w:val="FFFFFF" w:themeColor="background1"/>
                              </w:rPr>
                            </w:pPr>
                            <w:r w:rsidRPr="001A4AE9">
                              <w:rPr>
                                <w:color w:val="FFFFFF" w:themeColor="background1"/>
                              </w:rPr>
                              <w:t>Your local plan requirements regarding programs and programs of study</w:t>
                            </w:r>
                          </w:p>
                          <w:p w14:paraId="10495F72" w14:textId="77777777" w:rsidR="00ED4B04" w:rsidRPr="001A4AE9" w:rsidRDefault="00ED4B04" w:rsidP="00E15B18">
                            <w:pPr>
                              <w:rPr>
                                <w:color w:val="FFFFFF" w:themeColor="background1"/>
                              </w:rPr>
                            </w:pPr>
                          </w:p>
                          <w:p w14:paraId="780A0E2B" w14:textId="412F011B" w:rsidR="00ED4B04" w:rsidRPr="009A01C7" w:rsidRDefault="00ED4B04">
                            <w:pPr>
                              <w:rPr>
                                <w:color w:val="FFFFFF" w:themeColor="background1"/>
                              </w:rPr>
                            </w:pPr>
                            <w:r w:rsidRPr="00E12B9B">
                              <w:rPr>
                                <w:color w:val="FFFFFF" w:themeColor="background1"/>
                              </w:rPr>
                              <w:t>Also</w:t>
                            </w:r>
                            <w:r>
                              <w:rPr>
                                <w:color w:val="FFFFFF" w:themeColor="background1"/>
                              </w:rPr>
                              <w:t>,</w:t>
                            </w:r>
                            <w:r w:rsidRPr="00E12B9B">
                              <w:rPr>
                                <w:color w:val="FFFFFF" w:themeColor="background1"/>
                              </w:rPr>
                              <w:t xml:space="preserve"> consider who yo</w:t>
                            </w:r>
                            <w:r>
                              <w:rPr>
                                <w:color w:val="FFFFFF" w:themeColor="background1"/>
                              </w:rPr>
                              <w:t xml:space="preserve">u need to talk </w:t>
                            </w:r>
                            <w:r w:rsidRPr="00E12B9B">
                              <w:rPr>
                                <w:color w:val="FFFFFF" w:themeColor="background1"/>
                              </w:rPr>
                              <w:t xml:space="preserve">to gather information, both inside and outside of your office.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433335" id="_x0000_t202" coordsize="21600,21600" o:spt="202" path="m,l,21600r21600,l21600,xe">
                <v:stroke joinstyle="miter"/>
                <v:path gradientshapeok="t" o:connecttype="rect"/>
              </v:shapetype>
              <v:shape id="Text Box 2" o:spid="_x0000_s1026" type="#_x0000_t202" style="position:absolute;margin-left:7.5pt;margin-top:67.15pt;width:453pt;height:26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" fillcolor="#ed7d31 [3205]" stroked="f">
                <v:textbox>
                  <w:txbxContent>
                    <w:p w14:paraId="6CA04AFF" w14:textId="37675917" w:rsidR="00ED4B04" w:rsidRPr="001A4AE9" w:rsidRDefault="00ED4B04" w:rsidP="00AD59F0">
                      <w:pPr>
                        <w:rPr>
                          <w:b/>
                          <w:color w:val="FFFFFF" w:themeColor="background1"/>
                        </w:rPr>
                      </w:pPr>
                      <w:r w:rsidRPr="001A4AE9">
                        <w:rPr>
                          <w:b/>
                          <w:color w:val="FFFFFF" w:themeColor="background1"/>
                        </w:rPr>
                        <w:t>KEY DEFINTION</w:t>
                      </w:r>
                      <w:r>
                        <w:rPr>
                          <w:b/>
                          <w:color w:val="FFFFFF" w:themeColor="background1"/>
                        </w:rPr>
                        <w:t>: EMPLOYER ENGAGEMENT</w:t>
                      </w:r>
                    </w:p>
                    <w:p w14:paraId="3B367374" w14:textId="0E78AFEA" w:rsidR="00ED4B04" w:rsidRDefault="00ED4B04" w:rsidP="00810716">
                      <w:pPr>
                        <w:rPr>
                          <w:color w:val="FFFFFF" w:themeColor="background1"/>
                        </w:rPr>
                      </w:pPr>
                      <w:r>
                        <w:rPr>
                          <w:color w:val="FFFFFF" w:themeColor="background1"/>
                        </w:rPr>
                        <w:t>For the purposes of this module, the collaboration between CTE and the business and industry community is referred to simply as “employer engagement,” which can come in many different forms and vary in levels of intensity and scope. Importantly, we are using “employer” as shorthand for a wide range of business, industry and labor stakeholders – including multinational corporations, locally-owned businesses, industry associations and organized labor. In the context of this module, “employer” simply refers to an individual or organization that can represent the workforce in one or more industries.</w:t>
                      </w:r>
                    </w:p>
                    <w:p w14:paraId="32F7EF33" w14:textId="77777777" w:rsidR="00ED4B04" w:rsidRDefault="00ED4B04" w:rsidP="00810716">
                      <w:pPr>
                        <w:rPr>
                          <w:color w:val="FFFFFF" w:themeColor="background1"/>
                        </w:rPr>
                      </w:pPr>
                    </w:p>
                    <w:p w14:paraId="2A889AE6" w14:textId="77777777" w:rsidR="00ED4B04" w:rsidRPr="001A4AE9" w:rsidRDefault="00ED4B04" w:rsidP="00810716">
                      <w:pPr>
                        <w:rPr>
                          <w:color w:val="FFFFFF" w:themeColor="background1"/>
                        </w:rPr>
                      </w:pPr>
                      <w:r w:rsidRPr="001A4AE9">
                        <w:rPr>
                          <w:color w:val="FFFFFF" w:themeColor="background1"/>
                        </w:rPr>
                        <w:t xml:space="preserve">To help answer the questions below, you may want to have the following information on hand: </w:t>
                      </w:r>
                    </w:p>
                    <w:p w14:paraId="122B74D7" w14:textId="442621C6" w:rsidR="00ED4B04" w:rsidRDefault="00ED4B04" w:rsidP="009A01C7">
                      <w:pPr>
                        <w:pStyle w:val="ListParagraph"/>
                        <w:numPr>
                          <w:ilvl w:val="0"/>
                          <w:numId w:val="2"/>
                        </w:numPr>
                        <w:rPr>
                          <w:color w:val="FFFFFF" w:themeColor="background1"/>
                        </w:rPr>
                      </w:pPr>
                      <w:r w:rsidRPr="001A4AE9">
                        <w:rPr>
                          <w:color w:val="FFFFFF" w:themeColor="background1"/>
                        </w:rPr>
                        <w:t xml:space="preserve">Any </w:t>
                      </w:r>
                      <w:r>
                        <w:rPr>
                          <w:color w:val="FFFFFF" w:themeColor="background1"/>
                        </w:rPr>
                        <w:t xml:space="preserve">state </w:t>
                      </w:r>
                      <w:r w:rsidRPr="001A4AE9">
                        <w:rPr>
                          <w:color w:val="FFFFFF" w:themeColor="background1"/>
                        </w:rPr>
                        <w:t xml:space="preserve">policies </w:t>
                      </w:r>
                      <w:r>
                        <w:rPr>
                          <w:color w:val="FFFFFF" w:themeColor="background1"/>
                        </w:rPr>
                        <w:t>or guidance related to local advisory committees, employer engagement and work-based learning</w:t>
                      </w:r>
                    </w:p>
                    <w:p w14:paraId="0CE4B606" w14:textId="034C6C39" w:rsidR="00ED4B04" w:rsidRPr="0028103F" w:rsidRDefault="00ED4B04" w:rsidP="0028103F">
                      <w:pPr>
                        <w:pStyle w:val="ListParagraph"/>
                        <w:numPr>
                          <w:ilvl w:val="0"/>
                          <w:numId w:val="2"/>
                        </w:numPr>
                        <w:rPr>
                          <w:color w:val="FFFFFF" w:themeColor="background1"/>
                        </w:rPr>
                      </w:pPr>
                      <w:r>
                        <w:rPr>
                          <w:color w:val="FFFFFF" w:themeColor="background1"/>
                        </w:rPr>
                        <w:t xml:space="preserve">Your state policies </w:t>
                      </w:r>
                      <w:r w:rsidRPr="0028103F">
                        <w:rPr>
                          <w:color w:val="FFFFFF" w:themeColor="background1"/>
                        </w:rPr>
                        <w:t>related to program and/or program of study approval, review and funding at the secondary and postsecondary levels</w:t>
                      </w:r>
                    </w:p>
                    <w:p w14:paraId="3D27B9D4" w14:textId="77777777" w:rsidR="00ED4B04" w:rsidRPr="001A4AE9" w:rsidRDefault="00ED4B04" w:rsidP="009A01C7">
                      <w:pPr>
                        <w:pStyle w:val="ListParagraph"/>
                        <w:numPr>
                          <w:ilvl w:val="0"/>
                          <w:numId w:val="2"/>
                        </w:numPr>
                        <w:rPr>
                          <w:color w:val="FFFFFF" w:themeColor="background1"/>
                        </w:rPr>
                      </w:pPr>
                      <w:r w:rsidRPr="001A4AE9">
                        <w:rPr>
                          <w:color w:val="FFFFFF" w:themeColor="background1"/>
                        </w:rPr>
                        <w:t>Your state plan</w:t>
                      </w:r>
                      <w:r>
                        <w:rPr>
                          <w:color w:val="FFFFFF" w:themeColor="background1"/>
                        </w:rPr>
                        <w:t xml:space="preserve"> for the Carl D. Perkins Career and Technical Education Act of 2006 (Perkins)</w:t>
                      </w:r>
                    </w:p>
                    <w:p w14:paraId="3810D5F4" w14:textId="77777777" w:rsidR="00ED4B04" w:rsidRPr="001A4AE9" w:rsidRDefault="00ED4B04" w:rsidP="009A01C7">
                      <w:pPr>
                        <w:pStyle w:val="ListParagraph"/>
                        <w:numPr>
                          <w:ilvl w:val="0"/>
                          <w:numId w:val="2"/>
                        </w:numPr>
                        <w:rPr>
                          <w:color w:val="FFFFFF" w:themeColor="background1"/>
                        </w:rPr>
                      </w:pPr>
                      <w:r w:rsidRPr="001A4AE9">
                        <w:rPr>
                          <w:color w:val="FFFFFF" w:themeColor="background1"/>
                        </w:rPr>
                        <w:t>Your local plan requirements regarding programs and programs of study</w:t>
                      </w:r>
                    </w:p>
                    <w:p w14:paraId="10495F72" w14:textId="77777777" w:rsidR="00ED4B04" w:rsidRPr="001A4AE9" w:rsidRDefault="00ED4B04" w:rsidP="00E15B18">
                      <w:pPr>
                        <w:rPr>
                          <w:color w:val="FFFFFF" w:themeColor="background1"/>
                        </w:rPr>
                      </w:pPr>
                    </w:p>
                    <w:p w14:paraId="780A0E2B" w14:textId="412F011B" w:rsidR="00ED4B04" w:rsidRPr="009A01C7" w:rsidRDefault="00ED4B04">
                      <w:pPr>
                        <w:rPr>
                          <w:color w:val="FFFFFF" w:themeColor="background1"/>
                        </w:rPr>
                      </w:pPr>
                      <w:r w:rsidRPr="00E12B9B">
                        <w:rPr>
                          <w:color w:val="FFFFFF" w:themeColor="background1"/>
                        </w:rPr>
                        <w:t>Also</w:t>
                      </w:r>
                      <w:r>
                        <w:rPr>
                          <w:color w:val="FFFFFF" w:themeColor="background1"/>
                        </w:rPr>
                        <w:t>,</w:t>
                      </w:r>
                      <w:r w:rsidRPr="00E12B9B">
                        <w:rPr>
                          <w:color w:val="FFFFFF" w:themeColor="background1"/>
                        </w:rPr>
                        <w:t xml:space="preserve"> consider who yo</w:t>
                      </w:r>
                      <w:r>
                        <w:rPr>
                          <w:color w:val="FFFFFF" w:themeColor="background1"/>
                        </w:rPr>
                        <w:t xml:space="preserve">u need to talk </w:t>
                      </w:r>
                      <w:r w:rsidRPr="00E12B9B">
                        <w:rPr>
                          <w:color w:val="FFFFFF" w:themeColor="background1"/>
                        </w:rPr>
                        <w:t xml:space="preserve">to gather information, both inside and outside of your office. </w:t>
                      </w:r>
                    </w:p>
                  </w:txbxContent>
                </v:textbox>
                <w10:wrap type="square"/>
              </v:shape>
            </w:pict>
          </mc:Fallback>
        </mc:AlternateContent>
      </w:r>
      <w:r w:rsidR="00645B9D" w:rsidRPr="008E0554">
        <w:t>It will be helpful</w:t>
      </w:r>
      <w:r w:rsidR="00353A7D" w:rsidRPr="008E0554">
        <w:t xml:space="preserve"> to </w:t>
      </w:r>
      <w:r w:rsidRPr="008E0554">
        <w:t>first understand the ways in which your state currently engages with employers.</w:t>
      </w:r>
      <w:r w:rsidR="006039E8" w:rsidRPr="008E0554">
        <w:t xml:space="preserve"> </w:t>
      </w:r>
      <w:r w:rsidR="00B41607" w:rsidRPr="008E0554">
        <w:t xml:space="preserve">Knowing and understanding the </w:t>
      </w:r>
      <w:r w:rsidR="006039E8" w:rsidRPr="008E0554">
        <w:t>current state of play can be</w:t>
      </w:r>
      <w:r w:rsidR="00B41607" w:rsidRPr="008E0554">
        <w:t xml:space="preserve"> critical to making a thoughtful evaluation of whether those </w:t>
      </w:r>
      <w:r w:rsidR="006039E8" w:rsidRPr="008E0554">
        <w:t>policies</w:t>
      </w:r>
      <w:r w:rsidR="00886286">
        <w:t>,</w:t>
      </w:r>
      <w:r w:rsidR="006039E8" w:rsidRPr="008E0554">
        <w:t xml:space="preserve"> programs</w:t>
      </w:r>
      <w:r w:rsidR="00886286">
        <w:t xml:space="preserve"> and approaches</w:t>
      </w:r>
      <w:r w:rsidR="006039E8" w:rsidRPr="008E0554">
        <w:t xml:space="preserve"> are </w:t>
      </w:r>
      <w:r w:rsidRPr="008E0554">
        <w:t>providing meaningful experiences both for learners and industry partners.</w:t>
      </w:r>
      <w:r w:rsidR="00E15B18">
        <w:t xml:space="preserve"> </w:t>
      </w:r>
    </w:p>
    <w:p w14:paraId="27A1BE84" w14:textId="77777777" w:rsidR="00B41607" w:rsidRDefault="00B41607" w:rsidP="00353498">
      <w:pPr>
        <w:rPr>
          <w:b/>
        </w:rPr>
      </w:pPr>
    </w:p>
    <w:p w14:paraId="0316A3D3" w14:textId="77777777" w:rsidR="001F324A" w:rsidRPr="001F324A" w:rsidRDefault="00B07B3A" w:rsidP="00353498">
      <w:pPr>
        <w:pStyle w:val="Heading4"/>
        <w:shd w:val="clear" w:color="auto" w:fill="F2F2F2" w:themeFill="background1" w:themeFillShade="F2"/>
      </w:pPr>
      <w:r w:rsidRPr="00A24EB2">
        <w:t>State Vision for CTE</w:t>
      </w:r>
    </w:p>
    <w:p w14:paraId="3A3996D2" w14:textId="0731748F" w:rsidR="001F324A" w:rsidRDefault="001F324A" w:rsidP="00C257A1">
      <w:pPr>
        <w:shd w:val="clear" w:color="auto" w:fill="F2F2F2" w:themeFill="background1" w:themeFillShade="F2"/>
      </w:pPr>
      <w:r>
        <w:t xml:space="preserve">The role of employers is embedded either explicitly or implicitly in all five principles of </w:t>
      </w:r>
      <w:hyperlink r:id="rId15" w:history="1">
        <w:r w:rsidRPr="00A00144">
          <w:rPr>
            <w:rStyle w:val="Hyperlink"/>
            <w:i/>
          </w:rPr>
          <w:t>Putting Learner Success First: A Shared Vision for the Future of CTE</w:t>
        </w:r>
      </w:hyperlink>
      <w:r w:rsidRPr="001F324A">
        <w:t>.</w:t>
      </w:r>
      <w:r w:rsidR="008461F5">
        <w:t xml:space="preserve"> This was intentional</w:t>
      </w:r>
      <w:r>
        <w:t xml:space="preserve"> and demonstrates the value and necessity of employers in CTE’s past, present and future. </w:t>
      </w:r>
    </w:p>
    <w:p w14:paraId="4E5BDA2B" w14:textId="77777777" w:rsidR="000812CB" w:rsidRDefault="000812CB" w:rsidP="00353498">
      <w:pPr>
        <w:shd w:val="clear" w:color="auto" w:fill="F2F2F2" w:themeFill="background1" w:themeFillShade="F2"/>
      </w:pPr>
    </w:p>
    <w:p w14:paraId="1CBE947F" w14:textId="6DA6986F" w:rsidR="00F44476" w:rsidRDefault="000E7B56" w:rsidP="00353498">
      <w:pPr>
        <w:pStyle w:val="ListParagraph"/>
        <w:numPr>
          <w:ilvl w:val="0"/>
          <w:numId w:val="39"/>
        </w:numPr>
        <w:shd w:val="clear" w:color="auto" w:fill="F2F2F2" w:themeFill="background1" w:themeFillShade="F2"/>
        <w:ind w:left="360"/>
      </w:pPr>
      <w:r>
        <w:t xml:space="preserve">What role </w:t>
      </w:r>
      <w:r w:rsidR="00C81F41">
        <w:t>d</w:t>
      </w:r>
      <w:r>
        <w:t xml:space="preserve">o employers play currently in the development and execution of your state vision for CTE? </w:t>
      </w:r>
    </w:p>
    <w:p w14:paraId="7B8D8AF4" w14:textId="77777777" w:rsidR="002A1075" w:rsidRDefault="002A1075" w:rsidP="00353498">
      <w:pPr>
        <w:shd w:val="clear" w:color="auto" w:fill="F2F2F2" w:themeFill="background1" w:themeFillShade="F2"/>
      </w:pPr>
    </w:p>
    <w:p w14:paraId="196BD013" w14:textId="77777777" w:rsidR="002A1075" w:rsidRDefault="002A1075" w:rsidP="00353498">
      <w:pPr>
        <w:shd w:val="clear" w:color="auto" w:fill="F2F2F2" w:themeFill="background1" w:themeFillShade="F2"/>
      </w:pPr>
    </w:p>
    <w:p w14:paraId="3E8A7852" w14:textId="77777777" w:rsidR="002A1075" w:rsidRDefault="002A1075" w:rsidP="00353498">
      <w:pPr>
        <w:shd w:val="clear" w:color="auto" w:fill="F2F2F2" w:themeFill="background1" w:themeFillShade="F2"/>
      </w:pPr>
    </w:p>
    <w:p w14:paraId="6FA44FBE" w14:textId="22E53488" w:rsidR="002A1075" w:rsidRDefault="002A1075" w:rsidP="00353498">
      <w:pPr>
        <w:pStyle w:val="ListParagraph"/>
        <w:numPr>
          <w:ilvl w:val="0"/>
          <w:numId w:val="39"/>
        </w:numPr>
        <w:shd w:val="clear" w:color="auto" w:fill="F2F2F2" w:themeFill="background1" w:themeFillShade="F2"/>
        <w:tabs>
          <w:tab w:val="left" w:pos="810"/>
        </w:tabs>
        <w:ind w:left="360"/>
      </w:pPr>
      <w:r>
        <w:t xml:space="preserve">How does your state’s vision for CTE align to other </w:t>
      </w:r>
      <w:r w:rsidR="006B6830">
        <w:t xml:space="preserve">economic or workforce development </w:t>
      </w:r>
      <w:r>
        <w:t xml:space="preserve">initiatives in your state? </w:t>
      </w:r>
    </w:p>
    <w:p w14:paraId="0957776F" w14:textId="77777777" w:rsidR="002A1075" w:rsidRDefault="002A1075" w:rsidP="00353498">
      <w:pPr>
        <w:shd w:val="clear" w:color="auto" w:fill="F2F2F2" w:themeFill="background1" w:themeFillShade="F2"/>
        <w:tabs>
          <w:tab w:val="left" w:pos="810"/>
        </w:tabs>
      </w:pPr>
    </w:p>
    <w:p w14:paraId="4C9AE2E8" w14:textId="77777777" w:rsidR="002A1075" w:rsidRDefault="002A1075" w:rsidP="00353498">
      <w:pPr>
        <w:shd w:val="clear" w:color="auto" w:fill="F2F2F2" w:themeFill="background1" w:themeFillShade="F2"/>
        <w:tabs>
          <w:tab w:val="left" w:pos="810"/>
        </w:tabs>
      </w:pPr>
    </w:p>
    <w:p w14:paraId="4EE3EF9A" w14:textId="77777777" w:rsidR="002A1075" w:rsidRDefault="002A1075" w:rsidP="00353498">
      <w:pPr>
        <w:shd w:val="clear" w:color="auto" w:fill="F2F2F2" w:themeFill="background1" w:themeFillShade="F2"/>
        <w:tabs>
          <w:tab w:val="left" w:pos="810"/>
        </w:tabs>
      </w:pPr>
    </w:p>
    <w:p w14:paraId="0BB422B0" w14:textId="0D9416A6" w:rsidR="002A1075" w:rsidRDefault="002A1075" w:rsidP="00353498">
      <w:pPr>
        <w:pStyle w:val="ListParagraph"/>
        <w:numPr>
          <w:ilvl w:val="0"/>
          <w:numId w:val="39"/>
        </w:numPr>
        <w:shd w:val="clear" w:color="auto" w:fill="F2F2F2" w:themeFill="background1" w:themeFillShade="F2"/>
        <w:ind w:left="360"/>
      </w:pPr>
      <w:r>
        <w:t xml:space="preserve">What is the role of employers in developing/informing your state’s vision for CTE? </w:t>
      </w:r>
      <w:r>
        <w:cr/>
      </w:r>
    </w:p>
    <w:p w14:paraId="6CFFBEB6" w14:textId="77777777" w:rsidR="002A1075" w:rsidRDefault="002A1075" w:rsidP="00353498">
      <w:pPr>
        <w:shd w:val="clear" w:color="auto" w:fill="F2F2F2" w:themeFill="background1" w:themeFillShade="F2"/>
      </w:pPr>
    </w:p>
    <w:p w14:paraId="56539232" w14:textId="77777777" w:rsidR="00702CCB" w:rsidRPr="00F44476" w:rsidRDefault="00702CCB" w:rsidP="00353498">
      <w:pPr>
        <w:shd w:val="clear" w:color="auto" w:fill="F2F2F2" w:themeFill="background1" w:themeFillShade="F2"/>
      </w:pPr>
    </w:p>
    <w:p w14:paraId="5F1C5BA2" w14:textId="77777777" w:rsidR="00E3287E" w:rsidRDefault="00E3287E" w:rsidP="00353498">
      <w:pPr>
        <w:rPr>
          <w:i/>
        </w:rPr>
      </w:pPr>
    </w:p>
    <w:p w14:paraId="4E1D05D8" w14:textId="5F31491A" w:rsidR="006B6830" w:rsidRDefault="00F5354E" w:rsidP="00353498">
      <w:pPr>
        <w:rPr>
          <w:u w:val="single"/>
        </w:rPr>
      </w:pPr>
      <w:r>
        <w:t>Let’s</w:t>
      </w:r>
      <w:r w:rsidR="000812CB" w:rsidRPr="000812CB">
        <w:t xml:space="preserve"> do a quick check</w:t>
      </w:r>
      <w:r w:rsidR="000812CB">
        <w:t xml:space="preserve"> of how employers are currently inv</w:t>
      </w:r>
      <w:r w:rsidR="0026104E">
        <w:t>olved in your state CTE system. In the space below, quickly jot down the ways in which employers are</w:t>
      </w:r>
      <w:r w:rsidR="00886286">
        <w:t xml:space="preserve"> </w:t>
      </w:r>
      <w:r w:rsidR="00886286" w:rsidRPr="00AD59F0">
        <w:rPr>
          <w:i/>
        </w:rPr>
        <w:t>formally</w:t>
      </w:r>
      <w:r w:rsidR="00886286">
        <w:t xml:space="preserve"> or </w:t>
      </w:r>
      <w:r w:rsidR="00886286" w:rsidRPr="00AD59F0">
        <w:rPr>
          <w:i/>
        </w:rPr>
        <w:t>informally</w:t>
      </w:r>
      <w:r w:rsidR="0026104E">
        <w:t xml:space="preserve"> involved </w:t>
      </w:r>
      <w:r w:rsidR="0026104E">
        <w:rPr>
          <w:u w:val="single"/>
        </w:rPr>
        <w:t xml:space="preserve">AT </w:t>
      </w:r>
    </w:p>
    <w:p w14:paraId="16476330" w14:textId="4A761166" w:rsidR="0026104E" w:rsidRPr="0026104E" w:rsidRDefault="0026104E" w:rsidP="00353498">
      <w:pPr>
        <w:rPr>
          <w:u w:val="single"/>
        </w:rPr>
      </w:pPr>
      <w:r>
        <w:rPr>
          <w:u w:val="single"/>
        </w:rPr>
        <w:t>THE STATE LEVEL:</w:t>
      </w:r>
    </w:p>
    <w:p w14:paraId="4AEA73B8" w14:textId="3C7F532A" w:rsidR="0026104E" w:rsidRDefault="0026104E" w:rsidP="00353498">
      <w:pPr>
        <w:pStyle w:val="ListParagraph"/>
        <w:numPr>
          <w:ilvl w:val="0"/>
          <w:numId w:val="3"/>
        </w:numPr>
        <w:spacing w:after="720"/>
        <w:contextualSpacing w:val="0"/>
      </w:pPr>
      <w:r>
        <w:t xml:space="preserve">CTE standards development and/or validation: </w:t>
      </w:r>
    </w:p>
    <w:p w14:paraId="7CB0649C" w14:textId="4D77CBB5" w:rsidR="0026104E" w:rsidRDefault="0026104E" w:rsidP="00353498">
      <w:pPr>
        <w:pStyle w:val="ListParagraph"/>
        <w:numPr>
          <w:ilvl w:val="0"/>
          <w:numId w:val="3"/>
        </w:numPr>
        <w:spacing w:after="720"/>
        <w:contextualSpacing w:val="0"/>
      </w:pPr>
      <w:r>
        <w:t xml:space="preserve">Industry-recognized credentials identification and/or validation: </w:t>
      </w:r>
    </w:p>
    <w:p w14:paraId="7BA64460" w14:textId="77777777" w:rsidR="0026104E" w:rsidRDefault="0026104E" w:rsidP="00353498">
      <w:pPr>
        <w:pStyle w:val="ListParagraph"/>
        <w:numPr>
          <w:ilvl w:val="0"/>
          <w:numId w:val="3"/>
        </w:numPr>
        <w:spacing w:after="720"/>
        <w:contextualSpacing w:val="0"/>
      </w:pPr>
      <w:r>
        <w:t xml:space="preserve">Development and/or validation of state programs of study offerings: </w:t>
      </w:r>
    </w:p>
    <w:p w14:paraId="3CC9DB13" w14:textId="77777777" w:rsidR="0026104E" w:rsidRDefault="0026104E" w:rsidP="00353498">
      <w:pPr>
        <w:pStyle w:val="ListParagraph"/>
        <w:numPr>
          <w:ilvl w:val="0"/>
          <w:numId w:val="3"/>
        </w:numPr>
        <w:spacing w:after="720"/>
        <w:contextualSpacing w:val="0"/>
      </w:pPr>
      <w:r>
        <w:t>State policies for work-based learning:</w:t>
      </w:r>
    </w:p>
    <w:p w14:paraId="190BC325" w14:textId="2D076E1D" w:rsidR="0026104E" w:rsidRDefault="0026104E" w:rsidP="00353498">
      <w:pPr>
        <w:pStyle w:val="ListParagraph"/>
        <w:numPr>
          <w:ilvl w:val="0"/>
          <w:numId w:val="3"/>
        </w:numPr>
        <w:spacing w:after="720"/>
        <w:contextualSpacing w:val="0"/>
      </w:pPr>
      <w:r>
        <w:t>State CTE advisory council (or similar bodies</w:t>
      </w:r>
      <w:r w:rsidR="00886286">
        <w:t xml:space="preserve"> convened through workforce or economic development agencies</w:t>
      </w:r>
      <w:r>
        <w:t xml:space="preserve">): </w:t>
      </w:r>
    </w:p>
    <w:p w14:paraId="368DB03A" w14:textId="52D0F19B" w:rsidR="00170D70" w:rsidRDefault="00C81F41" w:rsidP="00353498">
      <w:pPr>
        <w:pStyle w:val="ListParagraph"/>
        <w:numPr>
          <w:ilvl w:val="0"/>
          <w:numId w:val="3"/>
        </w:numPr>
        <w:spacing w:after="720"/>
        <w:contextualSpacing w:val="0"/>
      </w:pPr>
      <w:r>
        <w:t xml:space="preserve">Guidance for </w:t>
      </w:r>
      <w:r w:rsidR="00170D70">
        <w:t>and/or validat</w:t>
      </w:r>
      <w:r>
        <w:t>ion of</w:t>
      </w:r>
      <w:r w:rsidR="00170D70">
        <w:t xml:space="preserve"> state labor market data and needs:</w:t>
      </w:r>
    </w:p>
    <w:p w14:paraId="6D1C984E" w14:textId="3555D163" w:rsidR="0026104E" w:rsidRDefault="0026104E" w:rsidP="00353498">
      <w:pPr>
        <w:rPr>
          <w:u w:val="single"/>
        </w:rPr>
      </w:pPr>
      <w:r>
        <w:t xml:space="preserve">In the space below, quickly jot down </w:t>
      </w:r>
      <w:r w:rsidR="00170D70">
        <w:t>how</w:t>
      </w:r>
      <w:r>
        <w:t xml:space="preserve"> employers are involved </w:t>
      </w:r>
      <w:r w:rsidRPr="00170D70">
        <w:rPr>
          <w:u w:val="single"/>
        </w:rPr>
        <w:t xml:space="preserve">AT THE </w:t>
      </w:r>
      <w:r w:rsidR="00170D70" w:rsidRPr="00170D70">
        <w:rPr>
          <w:u w:val="single"/>
        </w:rPr>
        <w:t>LOCAL</w:t>
      </w:r>
      <w:r w:rsidRPr="00170D70">
        <w:rPr>
          <w:u w:val="single"/>
        </w:rPr>
        <w:t xml:space="preserve"> LEVEL:</w:t>
      </w:r>
    </w:p>
    <w:p w14:paraId="38BC3BFF" w14:textId="43B2DB26" w:rsidR="00170D70" w:rsidRPr="00170D70" w:rsidRDefault="00170D70" w:rsidP="00353498">
      <w:pPr>
        <w:pStyle w:val="ListParagraph"/>
        <w:numPr>
          <w:ilvl w:val="0"/>
          <w:numId w:val="3"/>
        </w:numPr>
        <w:rPr>
          <w:u w:val="single"/>
        </w:rPr>
      </w:pPr>
      <w:r>
        <w:t>Local advisory committees for CTE programs:</w:t>
      </w:r>
    </w:p>
    <w:p w14:paraId="45644B20" w14:textId="77777777" w:rsidR="00170D70" w:rsidRDefault="00170D70" w:rsidP="00353498">
      <w:pPr>
        <w:rPr>
          <w:u w:val="single"/>
        </w:rPr>
      </w:pPr>
    </w:p>
    <w:p w14:paraId="36022C8E" w14:textId="77777777" w:rsidR="00170D70" w:rsidRDefault="00170D70" w:rsidP="00353498">
      <w:pPr>
        <w:rPr>
          <w:u w:val="single"/>
        </w:rPr>
      </w:pPr>
    </w:p>
    <w:p w14:paraId="4922B10A" w14:textId="77777777" w:rsidR="00257C71" w:rsidRPr="00170D70" w:rsidRDefault="00257C71" w:rsidP="00353498">
      <w:pPr>
        <w:rPr>
          <w:u w:val="single"/>
        </w:rPr>
      </w:pPr>
    </w:p>
    <w:p w14:paraId="10EBC555" w14:textId="13DBE171" w:rsidR="00170D70" w:rsidRPr="00170D70" w:rsidRDefault="00170D70" w:rsidP="00353498">
      <w:pPr>
        <w:pStyle w:val="ListParagraph"/>
        <w:numPr>
          <w:ilvl w:val="0"/>
          <w:numId w:val="3"/>
        </w:numPr>
        <w:rPr>
          <w:u w:val="single"/>
        </w:rPr>
      </w:pPr>
      <w:r>
        <w:t xml:space="preserve">Development </w:t>
      </w:r>
      <w:r w:rsidR="00993197">
        <w:t xml:space="preserve">and/or </w:t>
      </w:r>
      <w:r>
        <w:t>delivery of work-based learning:</w:t>
      </w:r>
    </w:p>
    <w:p w14:paraId="77468D11" w14:textId="77777777" w:rsidR="00170D70" w:rsidRDefault="00170D70" w:rsidP="00353498">
      <w:pPr>
        <w:rPr>
          <w:u w:val="single"/>
        </w:rPr>
      </w:pPr>
    </w:p>
    <w:p w14:paraId="52EEA45F" w14:textId="77777777" w:rsidR="00257C71" w:rsidRDefault="00257C71" w:rsidP="00353498">
      <w:pPr>
        <w:rPr>
          <w:u w:val="single"/>
        </w:rPr>
      </w:pPr>
    </w:p>
    <w:p w14:paraId="28E32BCB" w14:textId="77777777" w:rsidR="00170D70" w:rsidRPr="00170D70" w:rsidRDefault="00170D70" w:rsidP="00353498">
      <w:pPr>
        <w:rPr>
          <w:u w:val="single"/>
        </w:rPr>
      </w:pPr>
    </w:p>
    <w:p w14:paraId="17F5BDBC" w14:textId="63FECCF6" w:rsidR="00170D70" w:rsidRPr="00170D70" w:rsidRDefault="00170D70" w:rsidP="00353498">
      <w:pPr>
        <w:pStyle w:val="ListParagraph"/>
        <w:numPr>
          <w:ilvl w:val="0"/>
          <w:numId w:val="3"/>
        </w:numPr>
        <w:rPr>
          <w:u w:val="single"/>
        </w:rPr>
      </w:pPr>
      <w:r>
        <w:lastRenderedPageBreak/>
        <w:t>Development and/or delivery of CTE programs of study:</w:t>
      </w:r>
    </w:p>
    <w:p w14:paraId="6B2BE9F3" w14:textId="77777777" w:rsidR="00170D70" w:rsidRDefault="00170D70" w:rsidP="00353498">
      <w:pPr>
        <w:rPr>
          <w:u w:val="single"/>
        </w:rPr>
      </w:pPr>
    </w:p>
    <w:p w14:paraId="2824C540" w14:textId="77777777" w:rsidR="00257C71" w:rsidRDefault="00257C71" w:rsidP="00353498">
      <w:pPr>
        <w:rPr>
          <w:u w:val="single"/>
        </w:rPr>
      </w:pPr>
    </w:p>
    <w:p w14:paraId="05B5C790" w14:textId="77777777" w:rsidR="00170D70" w:rsidRPr="00170D70" w:rsidRDefault="00170D70" w:rsidP="00353498">
      <w:pPr>
        <w:rPr>
          <w:u w:val="single"/>
        </w:rPr>
      </w:pPr>
    </w:p>
    <w:p w14:paraId="753306AD" w14:textId="34D1B993" w:rsidR="0026104E" w:rsidRPr="00F90537" w:rsidRDefault="00C81F41" w:rsidP="00353498">
      <w:pPr>
        <w:pStyle w:val="ListParagraph"/>
        <w:numPr>
          <w:ilvl w:val="0"/>
          <w:numId w:val="3"/>
        </w:numPr>
        <w:rPr>
          <w:u w:val="single"/>
        </w:rPr>
      </w:pPr>
      <w:r>
        <w:t>Guidance for and/or validation of</w:t>
      </w:r>
      <w:r w:rsidR="00170D70">
        <w:t xml:space="preserve"> regional labor market data and needs:</w:t>
      </w:r>
    </w:p>
    <w:p w14:paraId="7406DB17" w14:textId="77777777" w:rsidR="006B6830" w:rsidRDefault="006B6830" w:rsidP="00353498">
      <w:pPr>
        <w:rPr>
          <w:u w:val="single"/>
        </w:rPr>
      </w:pPr>
    </w:p>
    <w:p w14:paraId="4B560D0E" w14:textId="77777777" w:rsidR="006B6830" w:rsidRDefault="006B6830" w:rsidP="00353498">
      <w:pPr>
        <w:rPr>
          <w:u w:val="single"/>
        </w:rPr>
      </w:pPr>
    </w:p>
    <w:p w14:paraId="3F3FAC00" w14:textId="77777777" w:rsidR="006B6830" w:rsidRDefault="006B6830" w:rsidP="00353498">
      <w:pPr>
        <w:rPr>
          <w:u w:val="single"/>
        </w:rPr>
      </w:pPr>
    </w:p>
    <w:p w14:paraId="08B654A5" w14:textId="77777777" w:rsidR="006B6830" w:rsidRPr="00F90537" w:rsidRDefault="006B6830" w:rsidP="00353498">
      <w:pPr>
        <w:rPr>
          <w:u w:val="single"/>
        </w:rPr>
      </w:pPr>
    </w:p>
    <w:p w14:paraId="7BAEAD52" w14:textId="189E0369" w:rsidR="00263E96" w:rsidRPr="004B589F" w:rsidRDefault="008461F5" w:rsidP="00353498">
      <w:pPr>
        <w:pStyle w:val="Style1"/>
        <w:numPr>
          <w:ilvl w:val="0"/>
          <w:numId w:val="0"/>
        </w:numPr>
        <w:rPr>
          <w:b/>
        </w:rPr>
      </w:pPr>
      <w:r>
        <w:rPr>
          <w:b/>
        </w:rPr>
        <w:br w:type="column"/>
      </w:r>
      <w:bookmarkStart w:id="12" w:name="_Toc511597544"/>
      <w:r w:rsidR="00C26CA1">
        <w:rPr>
          <w:b/>
        </w:rPr>
        <w:lastRenderedPageBreak/>
        <w:t>Aligning Your CTE System to Other State Initiatives</w:t>
      </w:r>
      <w:bookmarkEnd w:id="12"/>
    </w:p>
    <w:p w14:paraId="6D06EFD0" w14:textId="6FDF0342" w:rsidR="00257C71" w:rsidRDefault="00C26CA1" w:rsidP="00353498">
      <w:r>
        <w:t xml:space="preserve">Now that we know the myriad ways in which employers are engaging </w:t>
      </w:r>
      <w:r w:rsidR="000812CB">
        <w:t>currently</w:t>
      </w:r>
      <w:r w:rsidR="00993197">
        <w:t xml:space="preserve"> </w:t>
      </w:r>
      <w:r>
        <w:t xml:space="preserve">with your state CTE system, let’s take a step back and look at the bigger picture. </w:t>
      </w:r>
    </w:p>
    <w:p w14:paraId="10E72943" w14:textId="77777777" w:rsidR="00257C71" w:rsidRDefault="00257C71" w:rsidP="00353498"/>
    <w:p w14:paraId="324ECC2D" w14:textId="1078C64B" w:rsidR="007546A8" w:rsidRDefault="00C26CA1" w:rsidP="00353498">
      <w:r>
        <w:t>It’s often said that CTE sits at the intersection of education and workforce. Historically, many leaders within your state may have taken a</w:t>
      </w:r>
      <w:r w:rsidR="00170DC7">
        <w:t xml:space="preserve"> limited or disconnected</w:t>
      </w:r>
      <w:r>
        <w:t xml:space="preserve"> of how CTE is </w:t>
      </w:r>
      <w:r w:rsidR="00170DC7">
        <w:t xml:space="preserve">related </w:t>
      </w:r>
      <w:r>
        <w:t xml:space="preserve">to the state’s overall workforce and economic development needs. </w:t>
      </w:r>
      <w:r w:rsidR="000812CB">
        <w:t xml:space="preserve">However, </w:t>
      </w:r>
      <w:r w:rsidR="007546A8">
        <w:t>the potential is limitless</w:t>
      </w:r>
      <w:r w:rsidR="00257C71">
        <w:t>,</w:t>
      </w:r>
      <w:r w:rsidR="007546A8">
        <w:t xml:space="preserve"> and in the past decade, </w:t>
      </w:r>
      <w:r w:rsidR="006B6830">
        <w:t xml:space="preserve">more </w:t>
      </w:r>
      <w:r w:rsidR="007546A8">
        <w:t xml:space="preserve">governors and legislators </w:t>
      </w:r>
      <w:r w:rsidR="00195C9B">
        <w:t xml:space="preserve">have </w:t>
      </w:r>
      <w:r w:rsidR="00993197">
        <w:t>begun</w:t>
      </w:r>
      <w:r w:rsidR="00195C9B">
        <w:t xml:space="preserve"> </w:t>
      </w:r>
      <w:r w:rsidR="007546A8">
        <w:t xml:space="preserve">realizing the power of a strong, aligned CTE system as an important component of any competitive economic development agenda. As State CTE Director, you can use this opportunity to open doors and make connections to other statewide strategic initiatives, and ultimately, create a stronger future for the learners within your state. </w:t>
      </w:r>
    </w:p>
    <w:p w14:paraId="13FBB9CF" w14:textId="77777777" w:rsidR="007546A8" w:rsidRDefault="007546A8" w:rsidP="00353498"/>
    <w:p w14:paraId="144A9F6E" w14:textId="51FDE214" w:rsidR="00E3287E" w:rsidRDefault="009A01C7" w:rsidP="00353498">
      <w:r>
        <w:t>CTE has had a unique connection to employers</w:t>
      </w:r>
      <w:r w:rsidR="00E03865">
        <w:t xml:space="preserve"> since its inception</w:t>
      </w:r>
      <w:r>
        <w:t>, and over time, that relationship has evolved. Today, states are moving beyond episodic, exclusively local employer partnerships toward a more strategically aligned approach to create</w:t>
      </w:r>
      <w:r w:rsidR="00E03865">
        <w:t xml:space="preserve"> statewide</w:t>
      </w:r>
      <w:r>
        <w:t xml:space="preserve"> systems that are driven by employers and </w:t>
      </w:r>
      <w:r w:rsidR="00993197">
        <w:t>use</w:t>
      </w:r>
      <w:r>
        <w:t xml:space="preserve"> real-time labor market information </w:t>
      </w:r>
      <w:r w:rsidR="007217DF">
        <w:t xml:space="preserve">(LMI) </w:t>
      </w:r>
      <w:r>
        <w:t xml:space="preserve">to create a dynamic, responsive approach to state and employer needs. </w:t>
      </w:r>
    </w:p>
    <w:p w14:paraId="24D0D1B1" w14:textId="77777777" w:rsidR="009A01C7" w:rsidRDefault="009A01C7" w:rsidP="00353498"/>
    <w:p w14:paraId="113DB665" w14:textId="44E0FE27" w:rsidR="00E3287E" w:rsidRDefault="009A01C7" w:rsidP="00353498">
      <w:r>
        <w:t xml:space="preserve">In this module, we will explore how you can </w:t>
      </w:r>
      <w:r>
        <w:rPr>
          <w:b/>
        </w:rPr>
        <w:t>align</w:t>
      </w:r>
      <w:r>
        <w:t xml:space="preserve"> your state CTE system, </w:t>
      </w:r>
      <w:r>
        <w:rPr>
          <w:b/>
        </w:rPr>
        <w:t xml:space="preserve">partner </w:t>
      </w:r>
      <w:r>
        <w:t xml:space="preserve">with employers to create meaningful experiences for learners, and </w:t>
      </w:r>
      <w:r>
        <w:rPr>
          <w:b/>
        </w:rPr>
        <w:t>support</w:t>
      </w:r>
      <w:r>
        <w:t xml:space="preserve"> high-quality employer engagement at the local level. </w:t>
      </w:r>
    </w:p>
    <w:p w14:paraId="7BAE6576" w14:textId="77777777" w:rsidR="00E03865" w:rsidRDefault="00E03865" w:rsidP="00353498"/>
    <w:p w14:paraId="078AF033" w14:textId="77777777" w:rsidR="000A121D" w:rsidRDefault="00702CCB" w:rsidP="00353498">
      <w:pPr>
        <w:shd w:val="clear" w:color="auto" w:fill="FFFFFF"/>
        <w:rPr>
          <w:rFonts w:cs="Times New Roman"/>
          <w:color w:val="222222"/>
          <w:szCs w:val="26"/>
        </w:rPr>
      </w:pPr>
      <w:r>
        <w:rPr>
          <w:rFonts w:cs="Times New Roman"/>
          <w:color w:val="222222"/>
          <w:szCs w:val="26"/>
        </w:rPr>
        <w:t>W</w:t>
      </w:r>
      <w:r w:rsidR="006C48ED" w:rsidRPr="00D12F00">
        <w:rPr>
          <w:rFonts w:cs="Times New Roman"/>
          <w:color w:val="222222"/>
          <w:szCs w:val="26"/>
        </w:rPr>
        <w:t>e</w:t>
      </w:r>
      <w:r>
        <w:rPr>
          <w:rFonts w:cs="Times New Roman"/>
          <w:color w:val="222222"/>
          <w:szCs w:val="26"/>
        </w:rPr>
        <w:t xml:space="preserve"> also will</w:t>
      </w:r>
      <w:r w:rsidR="006C48ED" w:rsidRPr="00D12F00">
        <w:rPr>
          <w:rFonts w:cs="Times New Roman"/>
          <w:color w:val="222222"/>
          <w:szCs w:val="26"/>
        </w:rPr>
        <w:t xml:space="preserve"> share information, point you in the direction of states that you might want to investigate further</w:t>
      </w:r>
      <w:r w:rsidR="000A121D">
        <w:rPr>
          <w:rFonts w:cs="Times New Roman"/>
          <w:color w:val="222222"/>
          <w:szCs w:val="26"/>
        </w:rPr>
        <w:t xml:space="preserve"> and offer some leading questions for reflection</w:t>
      </w:r>
      <w:r w:rsidR="006C48ED" w:rsidRPr="00D12F00">
        <w:rPr>
          <w:rFonts w:cs="Times New Roman"/>
          <w:color w:val="222222"/>
          <w:szCs w:val="26"/>
        </w:rPr>
        <w:t xml:space="preserve">. We </w:t>
      </w:r>
      <w:r w:rsidR="006C48ED">
        <w:rPr>
          <w:rFonts w:cs="Times New Roman"/>
          <w:color w:val="222222"/>
          <w:szCs w:val="26"/>
        </w:rPr>
        <w:t xml:space="preserve">encourage </w:t>
      </w:r>
      <w:r w:rsidR="006C48ED" w:rsidRPr="00D12F00">
        <w:rPr>
          <w:rFonts w:cs="Times New Roman"/>
          <w:color w:val="222222"/>
          <w:szCs w:val="26"/>
        </w:rPr>
        <w:t xml:space="preserve">you to </w:t>
      </w:r>
      <w:r w:rsidR="006C48ED">
        <w:rPr>
          <w:rFonts w:cs="Times New Roman"/>
          <w:color w:val="222222"/>
          <w:szCs w:val="26"/>
        </w:rPr>
        <w:t xml:space="preserve">consider using </w:t>
      </w:r>
      <w:r w:rsidR="006C48ED" w:rsidRPr="00D12F00">
        <w:rPr>
          <w:rFonts w:cs="Times New Roman"/>
          <w:color w:val="222222"/>
          <w:szCs w:val="26"/>
        </w:rPr>
        <w:t>this time as a </w:t>
      </w:r>
      <w:r w:rsidR="006C48ED" w:rsidRPr="00D12F00">
        <w:rPr>
          <w:rFonts w:cs="Times New Roman"/>
          <w:color w:val="222222"/>
        </w:rPr>
        <w:t>new</w:t>
      </w:r>
      <w:r w:rsidR="006C48ED" w:rsidRPr="00D12F00">
        <w:rPr>
          <w:rFonts w:cs="Times New Roman"/>
          <w:color w:val="222222"/>
          <w:szCs w:val="26"/>
        </w:rPr>
        <w:t> </w:t>
      </w:r>
      <w:r w:rsidR="006C48ED">
        <w:rPr>
          <w:rFonts w:cs="Times New Roman"/>
          <w:color w:val="222222"/>
        </w:rPr>
        <w:t xml:space="preserve">State Director </w:t>
      </w:r>
      <w:r w:rsidR="006C48ED" w:rsidRPr="00D12F00">
        <w:rPr>
          <w:rFonts w:cs="Times New Roman"/>
          <w:color w:val="222222"/>
          <w:szCs w:val="26"/>
        </w:rPr>
        <w:t xml:space="preserve">to be inquisitive </w:t>
      </w:r>
      <w:r w:rsidR="006D6D6F">
        <w:rPr>
          <w:rFonts w:cs="Times New Roman"/>
          <w:color w:val="222222"/>
          <w:szCs w:val="26"/>
        </w:rPr>
        <w:t xml:space="preserve">– </w:t>
      </w:r>
      <w:r w:rsidR="006C48ED" w:rsidRPr="00D12F00">
        <w:rPr>
          <w:rFonts w:cs="Times New Roman"/>
          <w:color w:val="222222"/>
          <w:szCs w:val="26"/>
        </w:rPr>
        <w:t>and through that inquisitiveness, challenge assumptions</w:t>
      </w:r>
      <w:r w:rsidR="006C48ED">
        <w:rPr>
          <w:rFonts w:cs="Times New Roman"/>
          <w:color w:val="222222"/>
          <w:szCs w:val="26"/>
        </w:rPr>
        <w:t xml:space="preserve">. </w:t>
      </w:r>
    </w:p>
    <w:p w14:paraId="782D8E25" w14:textId="77777777" w:rsidR="000A121D" w:rsidRDefault="000A121D" w:rsidP="00353498">
      <w:pPr>
        <w:shd w:val="clear" w:color="auto" w:fill="FFFFFF"/>
        <w:rPr>
          <w:rFonts w:cs="Times New Roman"/>
          <w:color w:val="222222"/>
          <w:szCs w:val="26"/>
        </w:rPr>
      </w:pPr>
    </w:p>
    <w:p w14:paraId="74965C3E" w14:textId="74DD5668" w:rsidR="00F86111" w:rsidRDefault="00F86111" w:rsidP="00353498">
      <w:pPr>
        <w:pStyle w:val="Heading2"/>
      </w:pPr>
      <w:bookmarkStart w:id="13" w:name="_Toc511597545"/>
      <w:r>
        <w:t xml:space="preserve">Section 1: </w:t>
      </w:r>
      <w:r w:rsidR="00B01A0B">
        <w:t xml:space="preserve">Intersections with </w:t>
      </w:r>
      <w:r w:rsidR="00ED15A3">
        <w:t>Other</w:t>
      </w:r>
      <w:r w:rsidR="00B01A0B">
        <w:t xml:space="preserve"> State Initiatives and Systems</w:t>
      </w:r>
      <w:bookmarkEnd w:id="13"/>
    </w:p>
    <w:p w14:paraId="71D30855" w14:textId="0FB6100E" w:rsidR="000A57CF" w:rsidRDefault="00E03865" w:rsidP="00353498">
      <w:pPr>
        <w:pStyle w:val="NoSpacing"/>
      </w:pPr>
      <w:r>
        <w:t xml:space="preserve">As State Director, one of your responsibilities – at </w:t>
      </w:r>
      <w:r w:rsidR="008A7FE3">
        <w:t>the</w:t>
      </w:r>
      <w:r>
        <w:t xml:space="preserve"> highest level – </w:t>
      </w:r>
      <w:r w:rsidR="00353055">
        <w:t>is</w:t>
      </w:r>
      <w:r>
        <w:t xml:space="preserve"> to tend to the ways in which your state CTE system connects </w:t>
      </w:r>
      <w:r w:rsidR="00195C9B">
        <w:t xml:space="preserve">with </w:t>
      </w:r>
      <w:r>
        <w:t xml:space="preserve">and is aligned to the broader dynamics, initiatives and systems in your state. In doing this, you </w:t>
      </w:r>
      <w:r w:rsidR="008A7FE3">
        <w:t>can</w:t>
      </w:r>
      <w:r>
        <w:t xml:space="preserve"> tear down long-standing silos, reduce inefficiencies and create more meaningful partnerships which will, in turn, benefit learners, employers and your state’s economy.</w:t>
      </w:r>
    </w:p>
    <w:p w14:paraId="1766CAAB" w14:textId="77777777" w:rsidR="00F86111" w:rsidRDefault="00F86111" w:rsidP="00353498"/>
    <w:p w14:paraId="5D79C568" w14:textId="0B3F0D88" w:rsidR="00F86111" w:rsidRPr="00B447D6" w:rsidRDefault="00ED15A3" w:rsidP="00353498">
      <w:pPr>
        <w:pStyle w:val="Heading3"/>
        <w:rPr>
          <w:b/>
        </w:rPr>
      </w:pPr>
      <w:bookmarkStart w:id="14" w:name="_Toc511597546"/>
      <w:r w:rsidRPr="00B447D6">
        <w:rPr>
          <w:b/>
        </w:rPr>
        <w:t>Intersections with Other State Initiatives and Systems</w:t>
      </w:r>
      <w:bookmarkEnd w:id="14"/>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1710"/>
        <w:gridCol w:w="7758"/>
      </w:tblGrid>
      <w:tr w:rsidR="00F86111" w14:paraId="27B201E7" w14:textId="77777777" w:rsidTr="002B5BFC">
        <w:trPr>
          <w:trHeight w:val="49"/>
        </w:trPr>
        <w:tc>
          <w:tcPr>
            <w:tcW w:w="1710" w:type="dxa"/>
            <w:shd w:val="clear" w:color="auto" w:fill="F2F2F2" w:themeFill="background1" w:themeFillShade="F2"/>
            <w:tcMar>
              <w:top w:w="72" w:type="dxa"/>
              <w:left w:w="115" w:type="dxa"/>
              <w:right w:w="115" w:type="dxa"/>
            </w:tcMar>
          </w:tcPr>
          <w:p w14:paraId="239704F8" w14:textId="77777777" w:rsidR="00F86111" w:rsidRPr="006169A9" w:rsidRDefault="00F86111" w:rsidP="00353498">
            <w:pPr>
              <w:rPr>
                <w:b/>
              </w:rPr>
            </w:pPr>
            <w:r>
              <w:rPr>
                <w:b/>
              </w:rPr>
              <w:t>Options &amp; Opportunities</w:t>
            </w:r>
          </w:p>
        </w:tc>
        <w:tc>
          <w:tcPr>
            <w:tcW w:w="7758" w:type="dxa"/>
            <w:shd w:val="clear" w:color="auto" w:fill="F2F2F2" w:themeFill="background1" w:themeFillShade="F2"/>
            <w:tcMar>
              <w:top w:w="72" w:type="dxa"/>
              <w:left w:w="115" w:type="dxa"/>
              <w:right w:w="115" w:type="dxa"/>
            </w:tcMar>
          </w:tcPr>
          <w:p w14:paraId="4A8F1E8D" w14:textId="1B963FB8" w:rsidR="00170DC7" w:rsidRDefault="00E03865" w:rsidP="00353498">
            <w:r>
              <w:t>Your starting point may vary</w:t>
            </w:r>
            <w:r w:rsidR="00855805">
              <w:t xml:space="preserve"> depending on your state’s structure, leadership and ongoing initiatives and priorities.</w:t>
            </w:r>
            <w:r>
              <w:t xml:space="preserve"> In some instances, your state may have existing connections and relationships </w:t>
            </w:r>
            <w:r w:rsidR="00725A0B">
              <w:t xml:space="preserve">with other agencies or industry sectors that need to be strengthened or rebuilt. </w:t>
            </w:r>
            <w:r w:rsidR="00993197">
              <w:t>Or</w:t>
            </w:r>
            <w:r w:rsidR="00170DC7">
              <w:t xml:space="preserve">, </w:t>
            </w:r>
            <w:r w:rsidR="00855805">
              <w:t>y</w:t>
            </w:r>
            <w:r w:rsidR="00725A0B">
              <w:t>ou may have the unique opportunity to build those bridges for the first time. While that may be intimidating, it is also a rare opportunity for everyone involved to use that “fresh sheet of paper” mentality to build a</w:t>
            </w:r>
            <w:r w:rsidR="008A7FE3">
              <w:t>n effective</w:t>
            </w:r>
            <w:r w:rsidR="00725A0B">
              <w:t xml:space="preserve"> partnership. </w:t>
            </w:r>
          </w:p>
          <w:p w14:paraId="153CAADC" w14:textId="77777777" w:rsidR="00170DC7" w:rsidRDefault="00170DC7" w:rsidP="00353498"/>
          <w:p w14:paraId="429A7815" w14:textId="78D6A136" w:rsidR="00E03865" w:rsidRDefault="00170DC7" w:rsidP="00353498">
            <w:r>
              <w:t>For example, you could forge or strengthen a partnership with your state’s economic development agency to better use</w:t>
            </w:r>
            <w:r w:rsidR="007217DF">
              <w:t xml:space="preserve"> LMI</w:t>
            </w:r>
            <w:r>
              <w:t xml:space="preserve"> to drive your program of study offerings and ensure they connect to high-skill, high-wage pathways. You could work with the workforce development agency and its board to identify a common set of credentials that are recognized and valued by employers. You could also </w:t>
            </w:r>
            <w:r>
              <w:lastRenderedPageBreak/>
              <w:t xml:space="preserve">collaborate with other partners at the state and local level to coordinate resources and delivery models to create effective, aligned program offerings. </w:t>
            </w:r>
          </w:p>
          <w:p w14:paraId="2AE51560" w14:textId="77777777" w:rsidR="00725A0B" w:rsidRDefault="00725A0B" w:rsidP="00353498"/>
          <w:p w14:paraId="3098F94A" w14:textId="77A05C6D" w:rsidR="00E464B4" w:rsidRPr="00E464B4" w:rsidRDefault="00E464B4" w:rsidP="00353498">
            <w:pPr>
              <w:rPr>
                <w:b/>
              </w:rPr>
            </w:pPr>
            <w:r>
              <w:rPr>
                <w:b/>
              </w:rPr>
              <w:t>Federal Laws</w:t>
            </w:r>
          </w:p>
          <w:p w14:paraId="31E776FD" w14:textId="76A4CBF0" w:rsidR="00725A0B" w:rsidRDefault="00E464B4" w:rsidP="00353498">
            <w:r>
              <w:t>O</w:t>
            </w:r>
            <w:r w:rsidR="00725A0B">
              <w:t xml:space="preserve">ne way to consider the intersections with your state CTE system is to first </w:t>
            </w:r>
            <w:r w:rsidR="007C2AE9">
              <w:t xml:space="preserve">consider your state-level counterparts who manage the </w:t>
            </w:r>
            <w:r w:rsidR="00725A0B">
              <w:t>federal laws governing education and training – the Workforce Innovation and Opportunity Act (WIOA), Higher Education Act (HEA), and Every Student Succeeds Act (ESSA). Each of these –</w:t>
            </w:r>
            <w:r w:rsidR="00855805">
              <w:t xml:space="preserve"> </w:t>
            </w:r>
            <w:r w:rsidR="00725A0B">
              <w:t>to varying degrees –</w:t>
            </w:r>
            <w:r>
              <w:t xml:space="preserve"> i</w:t>
            </w:r>
            <w:r w:rsidR="00725A0B">
              <w:t>nvolve employers and have</w:t>
            </w:r>
            <w:r w:rsidR="002D06F9">
              <w:t xml:space="preserve"> alignment opportunities that </w:t>
            </w:r>
            <w:r w:rsidR="00725A0B">
              <w:t xml:space="preserve">may be to </w:t>
            </w:r>
            <w:r w:rsidR="00855805">
              <w:t xml:space="preserve">CTE’s </w:t>
            </w:r>
            <w:r w:rsidR="00725A0B">
              <w:t xml:space="preserve">benefit. </w:t>
            </w:r>
            <w:r w:rsidR="00F90537">
              <w:t xml:space="preserve">A starting place is to review your state’s plans for each of these laws and connect with the state leaders responsible for implementing them to identify opportunities for collaboration and alignment. </w:t>
            </w:r>
          </w:p>
          <w:p w14:paraId="224902A3" w14:textId="77777777" w:rsidR="007C2AE9" w:rsidRDefault="007C2AE9" w:rsidP="00353498"/>
          <w:p w14:paraId="65F6DAC3" w14:textId="0F32237D" w:rsidR="007C2AE9" w:rsidRDefault="007C2AE9" w:rsidP="00353498">
            <w:r>
              <w:t xml:space="preserve">In Perkins and WIOA, in particular, the “high-skill, high-wage, high-demand” definitions are another place for intersection and collaboration. </w:t>
            </w:r>
            <w:r w:rsidR="00521FF9">
              <w:t xml:space="preserve">Though they are mentioned in federal law, it is up to the state to define these terms. </w:t>
            </w:r>
          </w:p>
          <w:p w14:paraId="2F5BC48D" w14:textId="77777777" w:rsidR="00521FF9" w:rsidRDefault="00521FF9" w:rsidP="00353498"/>
          <w:p w14:paraId="6E9028EA" w14:textId="77777777" w:rsidR="00521FF9" w:rsidRDefault="00521FF9" w:rsidP="00353498">
            <w:r>
              <w:t xml:space="preserve">As a reminder from Module 1: </w:t>
            </w:r>
          </w:p>
          <w:p w14:paraId="2B7E9517" w14:textId="5692AC4C" w:rsidR="00521FF9" w:rsidRPr="00521FF9" w:rsidRDefault="00521FF9" w:rsidP="00353498">
            <w:pPr>
              <w:rPr>
                <w:i/>
              </w:rPr>
            </w:pPr>
            <w:r w:rsidRPr="00521FF9">
              <w:rPr>
                <w:i/>
              </w:rPr>
              <w:t xml:space="preserve">Because it is your state’s ability to define these terms, that’s where the real opportunity lies. You can define these terms for </w:t>
            </w:r>
            <w:r w:rsidR="00195C9B">
              <w:rPr>
                <w:i/>
              </w:rPr>
              <w:t xml:space="preserve">just </w:t>
            </w:r>
            <w:r w:rsidRPr="00521FF9">
              <w:rPr>
                <w:i/>
              </w:rPr>
              <w:t xml:space="preserve">CTE and Perkins, </w:t>
            </w:r>
            <w:r w:rsidRPr="00521FF9">
              <w:rPr>
                <w:i/>
                <w:u w:val="single"/>
              </w:rPr>
              <w:t>or</w:t>
            </w:r>
            <w:r w:rsidRPr="00521FF9">
              <w:rPr>
                <w:i/>
              </w:rPr>
              <w:t xml:space="preserve"> you can choose to adopt or align these terms to other efforts/initiatives in states (e.g. state workforce priorities, governor’s economic sector priorities, etc.). </w:t>
            </w:r>
          </w:p>
          <w:p w14:paraId="32AE7B9E" w14:textId="77777777" w:rsidR="002D06F9" w:rsidRDefault="002D06F9" w:rsidP="00353498"/>
          <w:p w14:paraId="5E06CBEA" w14:textId="45C9B5D6" w:rsidR="00E464B4" w:rsidRPr="00E464B4" w:rsidRDefault="00E464B4" w:rsidP="00353498">
            <w:pPr>
              <w:rPr>
                <w:b/>
              </w:rPr>
            </w:pPr>
            <w:r>
              <w:rPr>
                <w:b/>
              </w:rPr>
              <w:t>Partnership Models</w:t>
            </w:r>
          </w:p>
          <w:p w14:paraId="7E09A67B" w14:textId="679AE553" w:rsidR="002D06F9" w:rsidRDefault="00437D23" w:rsidP="00353498">
            <w:hyperlink r:id="rId16" w:history="1">
              <w:r w:rsidR="002D06F9" w:rsidRPr="002A1075">
                <w:rPr>
                  <w:rStyle w:val="Hyperlink"/>
                </w:rPr>
                <w:t>Sector strategies</w:t>
              </w:r>
            </w:hyperlink>
            <w:r w:rsidR="002D06F9">
              <w:t xml:space="preserve"> </w:t>
            </w:r>
            <w:r w:rsidR="00F90537">
              <w:t xml:space="preserve">can be </w:t>
            </w:r>
            <w:r w:rsidR="002D06F9">
              <w:t xml:space="preserve">a powerful approach for aligning the needs of business and industry with those of skilled workers to address current and emerging skills gaps while creating new partnerships and better using resources. This model uses partnerships of employers within a single industry to bring together government, education and training, economic development, labor and community organizations, and can be used at both the state and local levels to align </w:t>
            </w:r>
            <w:r w:rsidR="00E464B4">
              <w:t>policies and investments.</w:t>
            </w:r>
            <w:r w:rsidR="00E01AEE">
              <w:t xml:space="preserve"> Advance CTE</w:t>
            </w:r>
            <w:r w:rsidR="00855805">
              <w:t>’s</w:t>
            </w:r>
            <w:r w:rsidR="00E01AEE">
              <w:t xml:space="preserve"> partner, the </w:t>
            </w:r>
            <w:hyperlink r:id="rId17" w:history="1">
              <w:r w:rsidR="00E01AEE" w:rsidRPr="002A1075">
                <w:rPr>
                  <w:rStyle w:val="Hyperlink"/>
                </w:rPr>
                <w:t>National Skills Coalition</w:t>
              </w:r>
            </w:hyperlink>
            <w:r w:rsidR="00E01AEE">
              <w:t>, has a useful sector partnership toolkit that can help you find the best path forward for your state context.</w:t>
            </w:r>
          </w:p>
          <w:p w14:paraId="464D0B81" w14:textId="77777777" w:rsidR="00442C5B" w:rsidRDefault="00442C5B" w:rsidP="00353498"/>
          <w:p w14:paraId="534E73AB" w14:textId="0B8C2098" w:rsidR="00E21142" w:rsidRDefault="00442C5B" w:rsidP="00353498">
            <w:r>
              <w:t xml:space="preserve">Some state CTE systems formally partner with their </w:t>
            </w:r>
            <w:r w:rsidRPr="006E114D">
              <w:t>state workforce development board</w:t>
            </w:r>
            <w:r w:rsidR="006E114D">
              <w:rPr>
                <w:i/>
              </w:rPr>
              <w:t>s</w:t>
            </w:r>
            <w:r w:rsidR="008461F5">
              <w:t xml:space="preserve">. </w:t>
            </w:r>
            <w:r>
              <w:t xml:space="preserve">These state boards are a public-private partnership of employers, state officials and labor leaders. By </w:t>
            </w:r>
            <w:r w:rsidR="00855805">
              <w:t>putting formal partnerships in place</w:t>
            </w:r>
            <w:r>
              <w:t xml:space="preserve">, states can </w:t>
            </w:r>
            <w:r w:rsidR="00E21142">
              <w:t xml:space="preserve">share or align their visions, and </w:t>
            </w:r>
            <w:r>
              <w:t>ensure CTE program offerings are directly aligned to the state’s in-demand industries and simultaneously reduce employer exhaustion</w:t>
            </w:r>
            <w:r w:rsidR="00855805">
              <w:t xml:space="preserve"> (or multiple asks on a handful of employers)</w:t>
            </w:r>
            <w:r>
              <w:t xml:space="preserve">. </w:t>
            </w:r>
            <w:r w:rsidR="00F90537">
              <w:t xml:space="preserve">In some states, </w:t>
            </w:r>
            <w:r w:rsidR="00DD4D6E">
              <w:t>the State Director</w:t>
            </w:r>
            <w:r w:rsidR="00E464B4">
              <w:t xml:space="preserve"> serv</w:t>
            </w:r>
            <w:r w:rsidR="00DD4D6E">
              <w:t>es</w:t>
            </w:r>
            <w:r w:rsidR="00E464B4">
              <w:t xml:space="preserve"> as</w:t>
            </w:r>
            <w:r w:rsidR="00E21142">
              <w:t xml:space="preserve"> an ex-</w:t>
            </w:r>
            <w:r w:rsidR="00E464B4">
              <w:t xml:space="preserve">officio member of the state </w:t>
            </w:r>
            <w:r w:rsidR="00F5354E">
              <w:t>Workforce Investment Boards (WIB)</w:t>
            </w:r>
            <w:r w:rsidR="00E464B4">
              <w:t xml:space="preserve"> to maintain communication and coordination. </w:t>
            </w:r>
          </w:p>
          <w:p w14:paraId="2862770B" w14:textId="77777777" w:rsidR="00F90537" w:rsidRDefault="00F90537" w:rsidP="00353498"/>
          <w:p w14:paraId="22398B84" w14:textId="71AB3384" w:rsidR="00E464B4" w:rsidRDefault="00F90537" w:rsidP="00353498">
            <w:r>
              <w:t xml:space="preserve">Most states maintain their own boards to advise on the CTE system. </w:t>
            </w:r>
            <w:r w:rsidR="00E464B4">
              <w:t xml:space="preserve">In 2014, Advance CTE </w:t>
            </w:r>
            <w:hyperlink r:id="rId18" w:history="1">
              <w:r w:rsidR="00E464B4" w:rsidRPr="002A1075">
                <w:rPr>
                  <w:rStyle w:val="Hyperlink"/>
                </w:rPr>
                <w:t>surveyed</w:t>
              </w:r>
            </w:hyperlink>
            <w:r w:rsidR="00E464B4">
              <w:t xml:space="preserve"> the states to better understand the landscape of employer engagement in CTE. Nearly 75 percent reported having </w:t>
            </w:r>
            <w:r w:rsidR="00E464B4" w:rsidRPr="006E114D">
              <w:t xml:space="preserve">state-level advisory committees </w:t>
            </w:r>
            <w:r w:rsidR="00E464B4">
              <w:t xml:space="preserve">for secondary CTE and 60 percent had similar entities at the </w:t>
            </w:r>
            <w:r w:rsidR="00E464B4">
              <w:lastRenderedPageBreak/>
              <w:t>postsecondary level. A majority of these bodies advise CTE across learner levels and consult on matters such as standar</w:t>
            </w:r>
            <w:r w:rsidR="00E01AEE">
              <w:t>ds, credentials, and labor market data.</w:t>
            </w:r>
          </w:p>
          <w:p w14:paraId="58C5649F" w14:textId="4B2A1319" w:rsidR="00F86111" w:rsidRPr="00EE319E" w:rsidRDefault="00F86111" w:rsidP="00353498"/>
        </w:tc>
      </w:tr>
      <w:tr w:rsidR="00F86111" w14:paraId="33E8601A" w14:textId="77777777" w:rsidTr="002B5BFC">
        <w:trPr>
          <w:trHeight w:val="609"/>
        </w:trPr>
        <w:tc>
          <w:tcPr>
            <w:tcW w:w="1710" w:type="dxa"/>
            <w:shd w:val="clear" w:color="auto" w:fill="D5FCFF"/>
            <w:tcMar>
              <w:top w:w="72" w:type="dxa"/>
              <w:left w:w="115" w:type="dxa"/>
              <w:right w:w="115" w:type="dxa"/>
            </w:tcMar>
          </w:tcPr>
          <w:p w14:paraId="72FFC219" w14:textId="322A6567" w:rsidR="00F86111" w:rsidRPr="006169A9" w:rsidRDefault="00F86111" w:rsidP="00353498">
            <w:pPr>
              <w:rPr>
                <w:b/>
              </w:rPr>
            </w:pPr>
            <w:r>
              <w:rPr>
                <w:b/>
              </w:rPr>
              <w:lastRenderedPageBreak/>
              <w:t>State Example</w:t>
            </w:r>
            <w:r w:rsidR="007357A5">
              <w:rPr>
                <w:b/>
              </w:rPr>
              <w:t>s</w:t>
            </w:r>
            <w:r>
              <w:rPr>
                <w:b/>
              </w:rPr>
              <w:t xml:space="preserve"> </w:t>
            </w:r>
          </w:p>
        </w:tc>
        <w:tc>
          <w:tcPr>
            <w:tcW w:w="7758" w:type="dxa"/>
            <w:shd w:val="clear" w:color="auto" w:fill="D5FCFF"/>
            <w:tcMar>
              <w:top w:w="72" w:type="dxa"/>
              <w:left w:w="115" w:type="dxa"/>
              <w:right w:w="115" w:type="dxa"/>
            </w:tcMar>
          </w:tcPr>
          <w:p w14:paraId="1896994B" w14:textId="3556A847" w:rsidR="00442C5B" w:rsidRDefault="00442C5B" w:rsidP="00353498">
            <w:r>
              <w:rPr>
                <w:b/>
              </w:rPr>
              <w:t>Washington</w:t>
            </w:r>
            <w:r>
              <w:t xml:space="preserve"> has the nation’s longest-running sector partnership. Since 1991, the state’s </w:t>
            </w:r>
            <w:hyperlink r:id="rId19" w:history="1">
              <w:r w:rsidRPr="00DD4D6E">
                <w:rPr>
                  <w:rStyle w:val="Hyperlink"/>
                </w:rPr>
                <w:t>Workforce Training &amp; Education Coordinating Board</w:t>
              </w:r>
            </w:hyperlink>
            <w:r>
              <w:t xml:space="preserve"> </w:t>
            </w:r>
            <w:r w:rsidR="00532070">
              <w:t xml:space="preserve">coordinates 16 programs that are run by seven agencies, including the state community and technical college system’s postsecondary CTE and adult education, as well as secondary CTE in the Office of the Superintendent of Public Instruction. The board develops a statewide strategic plan and also measures performance for these programs to track taxpayer </w:t>
            </w:r>
            <w:hyperlink r:id="rId20" w:history="1">
              <w:r w:rsidR="00532070" w:rsidRPr="00DD4D6E">
                <w:rPr>
                  <w:rStyle w:val="Hyperlink"/>
                </w:rPr>
                <w:t>return on investment</w:t>
              </w:r>
            </w:hyperlink>
            <w:r w:rsidR="00532070">
              <w:t xml:space="preserve">. </w:t>
            </w:r>
          </w:p>
          <w:p w14:paraId="414B6F7E" w14:textId="77777777" w:rsidR="00532070" w:rsidRPr="00442C5B" w:rsidRDefault="00532070" w:rsidP="00353498"/>
          <w:p w14:paraId="095BDB62" w14:textId="3DE6F3C3" w:rsidR="00E01AEE" w:rsidRDefault="00442C5B" w:rsidP="00353498">
            <w:r>
              <w:rPr>
                <w:b/>
              </w:rPr>
              <w:t>Colorado</w:t>
            </w:r>
            <w:r>
              <w:t xml:space="preserve"> </w:t>
            </w:r>
            <w:r w:rsidR="00E01AEE" w:rsidRPr="00E01AEE">
              <w:t>passed legislation recognizing sector partnerships as a proven model for engaging employers (</w:t>
            </w:r>
            <w:hyperlink r:id="rId21" w:history="1">
              <w:r w:rsidR="00E01AEE" w:rsidRPr="00E01AEE">
                <w:rPr>
                  <w:rStyle w:val="Hyperlink"/>
                </w:rPr>
                <w:t>2014 Senate Bill 205</w:t>
              </w:r>
            </w:hyperlink>
            <w:r w:rsidR="00E01AEE" w:rsidRPr="00E01AEE">
              <w:t>) and requiring sector partnerships to be used in the development of industry-specific career pathways in order to ensure that pathways are employer</w:t>
            </w:r>
            <w:r w:rsidR="00E01AEE">
              <w:t>-</w:t>
            </w:r>
            <w:r w:rsidR="00E01AEE" w:rsidRPr="00E01AEE">
              <w:t>driven and meet industry needs (</w:t>
            </w:r>
            <w:hyperlink r:id="rId22" w:history="1">
              <w:r w:rsidR="00E01AEE" w:rsidRPr="00E01AEE">
                <w:rPr>
                  <w:rStyle w:val="Hyperlink"/>
                </w:rPr>
                <w:t>2013 House Bill 1165</w:t>
              </w:r>
            </w:hyperlink>
            <w:r w:rsidR="00E01AEE" w:rsidRPr="00E01AEE">
              <w:t xml:space="preserve"> and </w:t>
            </w:r>
            <w:hyperlink r:id="rId23" w:history="1">
              <w:r w:rsidR="00E01AEE" w:rsidRPr="00E01AEE">
                <w:rPr>
                  <w:rStyle w:val="Hyperlink"/>
                </w:rPr>
                <w:t>2015 House Bill 1274</w:t>
              </w:r>
            </w:hyperlink>
            <w:r w:rsidR="00E01AEE" w:rsidRPr="00E01AEE">
              <w:t>).</w:t>
            </w:r>
            <w:r w:rsidR="002A1075">
              <w:t xml:space="preserve"> </w:t>
            </w:r>
            <w:r w:rsidR="00E01AEE">
              <w:t xml:space="preserve">Read a case study of Colorado’s sector partnership work starting on page 14 of this </w:t>
            </w:r>
            <w:hyperlink r:id="rId24" w:history="1">
              <w:r w:rsidR="00E01AEE" w:rsidRPr="00E01AEE">
                <w:rPr>
                  <w:rStyle w:val="Hyperlink"/>
                </w:rPr>
                <w:t>toolkit</w:t>
              </w:r>
            </w:hyperlink>
            <w:r w:rsidR="00E01AEE">
              <w:t>.</w:t>
            </w:r>
          </w:p>
          <w:p w14:paraId="39161E59" w14:textId="77777777" w:rsidR="00532070" w:rsidRDefault="00532070" w:rsidP="00353498"/>
          <w:p w14:paraId="4AA0D425" w14:textId="225FE35C" w:rsidR="00E21142" w:rsidRDefault="00DD4D6E" w:rsidP="00353498">
            <w:r>
              <w:t xml:space="preserve">In 2017, the </w:t>
            </w:r>
            <w:r w:rsidR="007C76E8" w:rsidRPr="00E21142">
              <w:rPr>
                <w:b/>
              </w:rPr>
              <w:t>Tennessee</w:t>
            </w:r>
            <w:r w:rsidR="007C76E8" w:rsidRPr="00E21142">
              <w:t xml:space="preserve"> </w:t>
            </w:r>
            <w:r>
              <w:t>Department of Education</w:t>
            </w:r>
            <w:r w:rsidR="00F90537">
              <w:t xml:space="preserve"> </w:t>
            </w:r>
            <w:r>
              <w:t xml:space="preserve">commissioner convened the College, Career and Technical Education Transition Advisory Council to provide immediate insight and direction to guide the state’s work in postsecondary and career readiness. This </w:t>
            </w:r>
            <w:hyperlink r:id="rId25" w:history="1">
              <w:r w:rsidRPr="002A1075">
                <w:rPr>
                  <w:rStyle w:val="Hyperlink"/>
                </w:rPr>
                <w:t>report</w:t>
              </w:r>
            </w:hyperlink>
            <w:r>
              <w:t xml:space="preserve">, released in February 2018, outlines a set of recommendations based on the challenges, desires and barriers to successful implementation of high-quality CTE programs. The </w:t>
            </w:r>
            <w:r w:rsidR="008461F5">
              <w:t>C</w:t>
            </w:r>
            <w:r>
              <w:t xml:space="preserve">ouncil also provided input on a unified vision for the next stage of college, career and technical education. </w:t>
            </w:r>
          </w:p>
          <w:p w14:paraId="7A6F23BA" w14:textId="77777777" w:rsidR="00266E28" w:rsidRDefault="00266E28" w:rsidP="00353498"/>
          <w:p w14:paraId="5359D125" w14:textId="77777777" w:rsidR="00266E28" w:rsidRDefault="00266E28" w:rsidP="00266E28">
            <w:r>
              <w:t xml:space="preserve">Since 2015, </w:t>
            </w:r>
            <w:r>
              <w:rPr>
                <w:b/>
              </w:rPr>
              <w:t xml:space="preserve">Oklahoma </w:t>
            </w:r>
            <w:r>
              <w:t xml:space="preserve">has had a cross-sector career readiness and workforce development initiative known as </w:t>
            </w:r>
            <w:hyperlink r:id="rId26" w:history="1">
              <w:r w:rsidRPr="00E91FFB">
                <w:rPr>
                  <w:rStyle w:val="Hyperlink"/>
                </w:rPr>
                <w:t>Oklahoma Works</w:t>
              </w:r>
            </w:hyperlink>
            <w:r>
              <w:t>, which uses a network of nine employer partnerships, or Key Economic Networks. Each network has an individual employer who coordinates local efforts.</w:t>
            </w:r>
          </w:p>
          <w:p w14:paraId="31EA6051" w14:textId="77777777" w:rsidR="00534E0D" w:rsidRDefault="00534E0D" w:rsidP="00353498"/>
          <w:p w14:paraId="5F2FDC69" w14:textId="5F96A951" w:rsidR="007C76E8" w:rsidRDefault="00E21142" w:rsidP="00353498">
            <w:r>
              <w:rPr>
                <w:b/>
              </w:rPr>
              <w:t>Kentuc</w:t>
            </w:r>
            <w:r w:rsidR="00487BA7">
              <w:rPr>
                <w:b/>
              </w:rPr>
              <w:t xml:space="preserve">ky’s </w:t>
            </w:r>
            <w:r w:rsidR="00487BA7">
              <w:t>New Skills for Youth initiative uses a governance and delivery system for CTE that is</w:t>
            </w:r>
            <w:r w:rsidR="00487BA7" w:rsidRPr="00487BA7">
              <w:t xml:space="preserve"> employer-led through regional workforce areas and ensures </w:t>
            </w:r>
            <w:r w:rsidR="00487BA7">
              <w:t xml:space="preserve">cross-institutional involvement. Check out the </w:t>
            </w:r>
            <w:hyperlink r:id="rId27" w:history="1">
              <w:r w:rsidR="00487BA7" w:rsidRPr="00487BA7">
                <w:rPr>
                  <w:rStyle w:val="Hyperlink"/>
                </w:rPr>
                <w:t>MOUs</w:t>
              </w:r>
            </w:hyperlink>
            <w:r w:rsidR="00487BA7">
              <w:t xml:space="preserve"> between its state Chamber of Commerce, Cabinet for Economic Development and other key partners to achieve this ambitious approach. </w:t>
            </w:r>
          </w:p>
          <w:p w14:paraId="2A23A11B" w14:textId="41229F96" w:rsidR="00487BA7" w:rsidRPr="00E21142" w:rsidRDefault="00487BA7" w:rsidP="00534E0D">
            <w:pPr>
              <w:spacing w:after="160"/>
            </w:pPr>
          </w:p>
        </w:tc>
      </w:tr>
    </w:tbl>
    <w:p w14:paraId="74BB905F" w14:textId="197879C7" w:rsidR="00F86111" w:rsidRDefault="00F86111" w:rsidP="00353498"/>
    <w:p w14:paraId="57C68B20" w14:textId="77777777" w:rsidR="00603B6D" w:rsidRDefault="00603B6D">
      <w:pPr>
        <w:spacing w:after="160" w:line="259" w:lineRule="auto"/>
        <w:rPr>
          <w:rFonts w:eastAsiaTheme="majorEastAsia" w:cstheme="majorBidi"/>
          <w:b/>
          <w:i/>
          <w:sz w:val="24"/>
          <w:szCs w:val="24"/>
        </w:rPr>
      </w:pPr>
      <w:r>
        <w:rPr>
          <w:b/>
        </w:rPr>
        <w:br w:type="page"/>
      </w:r>
    </w:p>
    <w:p w14:paraId="5A9E7EED" w14:textId="00F5262F" w:rsidR="007A2072" w:rsidRPr="002A6387" w:rsidRDefault="007A2072" w:rsidP="00353498">
      <w:pPr>
        <w:pStyle w:val="Heading3"/>
        <w:rPr>
          <w:b/>
        </w:rPr>
      </w:pPr>
      <w:bookmarkStart w:id="15" w:name="_Toc511597547"/>
      <w:r>
        <w:rPr>
          <w:b/>
        </w:rPr>
        <w:lastRenderedPageBreak/>
        <w:t>Key Questions:</w:t>
      </w:r>
      <w:r w:rsidR="00ED15A3">
        <w:rPr>
          <w:b/>
        </w:rPr>
        <w:t xml:space="preserve"> Intersections with Other State Initiatives and Systems</w:t>
      </w:r>
      <w:bookmarkEnd w:id="15"/>
    </w:p>
    <w:p w14:paraId="0D783207" w14:textId="77777777" w:rsidR="007A2072" w:rsidRDefault="007A2072" w:rsidP="00353498">
      <w:r>
        <w:t xml:space="preserve">Answer the questions below in the space provided. While these questions are all optional, we encourage you to capture your thoughts here so that you can easily refer back to them. </w:t>
      </w:r>
    </w:p>
    <w:tbl>
      <w:tblPr>
        <w:tblStyle w:val="TableGrid"/>
        <w:tblpPr w:leftFromText="180" w:rightFromText="180" w:vertAnchor="text" w:horzAnchor="page" w:tblpX="1303" w:tblpY="170"/>
        <w:tblW w:w="9990" w:type="dxa"/>
        <w:tblLook w:val="04A0" w:firstRow="1" w:lastRow="0" w:firstColumn="1" w:lastColumn="0" w:noHBand="0" w:noVBand="1"/>
      </w:tblPr>
      <w:tblGrid>
        <w:gridCol w:w="1565"/>
        <w:gridCol w:w="3465"/>
        <w:gridCol w:w="4960"/>
      </w:tblGrid>
      <w:tr w:rsidR="00790E9E" w:rsidRPr="006169A9" w14:paraId="49FD5F02" w14:textId="77777777" w:rsidTr="002A1075">
        <w:trPr>
          <w:trHeight w:val="170"/>
          <w:tblHeader/>
        </w:trPr>
        <w:tc>
          <w:tcPr>
            <w:tcW w:w="1565" w:type="dxa"/>
            <w:shd w:val="clear" w:color="auto" w:fill="F2F2F2" w:themeFill="background1" w:themeFillShade="F2"/>
            <w:tcMar>
              <w:top w:w="72" w:type="dxa"/>
              <w:left w:w="115" w:type="dxa"/>
              <w:right w:w="115" w:type="dxa"/>
            </w:tcMar>
            <w:vAlign w:val="center"/>
          </w:tcPr>
          <w:p w14:paraId="5723E78C" w14:textId="77777777" w:rsidR="00790E9E" w:rsidRPr="006169A9" w:rsidRDefault="00790E9E" w:rsidP="00353498">
            <w:pPr>
              <w:pStyle w:val="Heading4"/>
              <w:outlineLvl w:val="3"/>
            </w:pPr>
            <w:r>
              <w:br w:type="page"/>
            </w:r>
          </w:p>
        </w:tc>
        <w:tc>
          <w:tcPr>
            <w:tcW w:w="3465" w:type="dxa"/>
            <w:shd w:val="clear" w:color="auto" w:fill="F2F2F2" w:themeFill="background1" w:themeFillShade="F2"/>
            <w:tcMar>
              <w:top w:w="72" w:type="dxa"/>
              <w:left w:w="115" w:type="dxa"/>
              <w:right w:w="115" w:type="dxa"/>
            </w:tcMar>
          </w:tcPr>
          <w:p w14:paraId="1776B7C2" w14:textId="77777777" w:rsidR="00790E9E" w:rsidRPr="006169A9" w:rsidRDefault="00790E9E" w:rsidP="00353498">
            <w:pPr>
              <w:jc w:val="center"/>
              <w:rPr>
                <w:b/>
                <w:i/>
                <w:sz w:val="24"/>
              </w:rPr>
            </w:pPr>
            <w:r>
              <w:rPr>
                <w:b/>
                <w:i/>
                <w:sz w:val="24"/>
              </w:rPr>
              <w:t>Key Questions</w:t>
            </w:r>
          </w:p>
        </w:tc>
        <w:tc>
          <w:tcPr>
            <w:tcW w:w="4960" w:type="dxa"/>
            <w:shd w:val="clear" w:color="auto" w:fill="F2F2F2" w:themeFill="background1" w:themeFillShade="F2"/>
            <w:tcMar>
              <w:top w:w="72" w:type="dxa"/>
              <w:left w:w="115" w:type="dxa"/>
              <w:right w:w="115" w:type="dxa"/>
            </w:tcMar>
          </w:tcPr>
          <w:p w14:paraId="40745568" w14:textId="77777777" w:rsidR="003E4F12" w:rsidRDefault="00606BD0" w:rsidP="00353498">
            <w:pPr>
              <w:jc w:val="center"/>
            </w:pPr>
            <w:r w:rsidRPr="00606BD0">
              <w:rPr>
                <w:b/>
                <w:i/>
                <w:sz w:val="24"/>
              </w:rPr>
              <w:t>State Response</w:t>
            </w:r>
          </w:p>
        </w:tc>
      </w:tr>
      <w:tr w:rsidR="002A1075" w14:paraId="3794A05B" w14:textId="77777777" w:rsidTr="0028103F">
        <w:trPr>
          <w:trHeight w:val="763"/>
          <w:tblHeader/>
        </w:trPr>
        <w:tc>
          <w:tcPr>
            <w:tcW w:w="1565" w:type="dxa"/>
            <w:vMerge w:val="restart"/>
            <w:tcMar>
              <w:top w:w="72" w:type="dxa"/>
              <w:left w:w="115" w:type="dxa"/>
              <w:right w:w="115" w:type="dxa"/>
            </w:tcMar>
            <w:vAlign w:val="center"/>
          </w:tcPr>
          <w:p w14:paraId="18329C9B" w14:textId="40F9E2E8" w:rsidR="002A1075" w:rsidRDefault="002A1075" w:rsidP="00353498">
            <w:r>
              <w:rPr>
                <w:b/>
                <w:i/>
                <w:sz w:val="24"/>
              </w:rPr>
              <w:t>Intersections with Other State Initiatives, Systems</w:t>
            </w:r>
          </w:p>
        </w:tc>
        <w:tc>
          <w:tcPr>
            <w:tcW w:w="3465" w:type="dxa"/>
            <w:tcMar>
              <w:top w:w="72" w:type="dxa"/>
              <w:left w:w="115" w:type="dxa"/>
              <w:right w:w="115" w:type="dxa"/>
            </w:tcMar>
          </w:tcPr>
          <w:p w14:paraId="5740E571" w14:textId="6E1743C4" w:rsidR="002A1075" w:rsidRDefault="002A1075" w:rsidP="00993197">
            <w:pPr>
              <w:pStyle w:val="CommentText"/>
              <w:rPr>
                <w:sz w:val="22"/>
                <w:szCs w:val="22"/>
              </w:rPr>
            </w:pPr>
            <w:r w:rsidRPr="002A1075">
              <w:rPr>
                <w:sz w:val="22"/>
                <w:szCs w:val="22"/>
              </w:rPr>
              <w:t xml:space="preserve">Think back to your state CTE system’s definitions for high-wage, high-skill, high-demand careers and other key definitions such as programs of study and career pathways. </w:t>
            </w:r>
          </w:p>
          <w:p w14:paraId="0D8FB2D0" w14:textId="77777777" w:rsidR="00993197" w:rsidRPr="002A1075" w:rsidRDefault="00993197" w:rsidP="00993197">
            <w:pPr>
              <w:pStyle w:val="CommentText"/>
              <w:rPr>
                <w:sz w:val="22"/>
                <w:szCs w:val="22"/>
              </w:rPr>
            </w:pPr>
          </w:p>
          <w:p w14:paraId="68AEA7B8" w14:textId="6FAF178F" w:rsidR="002A1075" w:rsidRPr="002A1075" w:rsidRDefault="002A1075" w:rsidP="00353498">
            <w:pPr>
              <w:pStyle w:val="CommentText"/>
              <w:spacing w:after="120"/>
              <w:rPr>
                <w:sz w:val="22"/>
                <w:szCs w:val="22"/>
              </w:rPr>
            </w:pPr>
            <w:r w:rsidRPr="002A1075">
              <w:rPr>
                <w:sz w:val="22"/>
                <w:szCs w:val="22"/>
              </w:rPr>
              <w:t xml:space="preserve">Are these the shared definitions across agencies and initiatives or are they different? Why?  </w:t>
            </w:r>
          </w:p>
        </w:tc>
        <w:tc>
          <w:tcPr>
            <w:tcW w:w="4960" w:type="dxa"/>
            <w:tcMar>
              <w:top w:w="72" w:type="dxa"/>
              <w:left w:w="115" w:type="dxa"/>
              <w:right w:w="115" w:type="dxa"/>
            </w:tcMar>
          </w:tcPr>
          <w:p w14:paraId="0F652DA4" w14:textId="77777777" w:rsidR="002A1075" w:rsidRDefault="002A1075" w:rsidP="00353498">
            <w:pPr>
              <w:pStyle w:val="Heading4"/>
              <w:outlineLvl w:val="3"/>
            </w:pPr>
          </w:p>
        </w:tc>
      </w:tr>
      <w:tr w:rsidR="008461F5" w14:paraId="5C2D7274" w14:textId="77777777" w:rsidTr="0028103F">
        <w:trPr>
          <w:trHeight w:val="763"/>
          <w:tblHeader/>
        </w:trPr>
        <w:tc>
          <w:tcPr>
            <w:tcW w:w="1565" w:type="dxa"/>
            <w:vMerge/>
            <w:tcMar>
              <w:top w:w="72" w:type="dxa"/>
              <w:left w:w="115" w:type="dxa"/>
              <w:right w:w="115" w:type="dxa"/>
            </w:tcMar>
            <w:vAlign w:val="center"/>
          </w:tcPr>
          <w:p w14:paraId="0E037104" w14:textId="77777777" w:rsidR="008461F5" w:rsidRDefault="008461F5" w:rsidP="00353498">
            <w:pPr>
              <w:rPr>
                <w:b/>
                <w:i/>
                <w:sz w:val="24"/>
              </w:rPr>
            </w:pPr>
          </w:p>
        </w:tc>
        <w:tc>
          <w:tcPr>
            <w:tcW w:w="3465" w:type="dxa"/>
            <w:tcMar>
              <w:top w:w="72" w:type="dxa"/>
              <w:left w:w="115" w:type="dxa"/>
              <w:right w:w="115" w:type="dxa"/>
            </w:tcMar>
          </w:tcPr>
          <w:p w14:paraId="35136EAF" w14:textId="2A199161" w:rsidR="008461F5" w:rsidRPr="008461F5" w:rsidRDefault="008461F5" w:rsidP="00353498">
            <w:pPr>
              <w:pStyle w:val="CommentText"/>
              <w:spacing w:after="120"/>
              <w:rPr>
                <w:sz w:val="22"/>
                <w:szCs w:val="22"/>
              </w:rPr>
            </w:pPr>
            <w:r w:rsidRPr="008461F5">
              <w:rPr>
                <w:sz w:val="22"/>
              </w:rPr>
              <w:t>What opportunities are there to better align with workforce development? Economic development? Key industry associations? Unions? Other statewide employer organizations?</w:t>
            </w:r>
          </w:p>
        </w:tc>
        <w:tc>
          <w:tcPr>
            <w:tcW w:w="4960" w:type="dxa"/>
            <w:tcMar>
              <w:top w:w="72" w:type="dxa"/>
              <w:left w:w="115" w:type="dxa"/>
              <w:right w:w="115" w:type="dxa"/>
            </w:tcMar>
          </w:tcPr>
          <w:p w14:paraId="458A0D4F" w14:textId="77777777" w:rsidR="008461F5" w:rsidRDefault="008461F5" w:rsidP="00353498">
            <w:pPr>
              <w:pStyle w:val="Heading4"/>
              <w:outlineLvl w:val="3"/>
            </w:pPr>
          </w:p>
        </w:tc>
      </w:tr>
      <w:tr w:rsidR="008461F5" w14:paraId="4053F99B" w14:textId="77777777" w:rsidTr="0028103F">
        <w:trPr>
          <w:trHeight w:val="1027"/>
          <w:tblHeader/>
        </w:trPr>
        <w:tc>
          <w:tcPr>
            <w:tcW w:w="1565" w:type="dxa"/>
            <w:vMerge/>
            <w:tcMar>
              <w:top w:w="72" w:type="dxa"/>
              <w:left w:w="115" w:type="dxa"/>
              <w:right w:w="115" w:type="dxa"/>
            </w:tcMar>
          </w:tcPr>
          <w:p w14:paraId="5BD88A3D" w14:textId="1F1EB30E" w:rsidR="008461F5" w:rsidRPr="006169A9" w:rsidRDefault="008461F5" w:rsidP="00353498">
            <w:pPr>
              <w:pStyle w:val="Heading4"/>
              <w:outlineLvl w:val="3"/>
            </w:pPr>
          </w:p>
        </w:tc>
        <w:tc>
          <w:tcPr>
            <w:tcW w:w="3465" w:type="dxa"/>
            <w:tcMar>
              <w:top w:w="72" w:type="dxa"/>
              <w:left w:w="115" w:type="dxa"/>
              <w:right w:w="115" w:type="dxa"/>
            </w:tcMar>
          </w:tcPr>
          <w:p w14:paraId="1EACE548" w14:textId="77777777" w:rsidR="008461F5" w:rsidRDefault="008461F5" w:rsidP="00353498">
            <w:r>
              <w:t xml:space="preserve">Do you have a statewide CTE advisory committee or equivalent? </w:t>
            </w:r>
          </w:p>
          <w:p w14:paraId="69E4B54C" w14:textId="77777777" w:rsidR="008461F5" w:rsidRDefault="008461F5" w:rsidP="00353498"/>
          <w:p w14:paraId="060C2304" w14:textId="77777777" w:rsidR="008461F5" w:rsidRDefault="008461F5" w:rsidP="00353498">
            <w:r>
              <w:t xml:space="preserve">If yes, how do they influence or shape your state system? </w:t>
            </w:r>
          </w:p>
          <w:p w14:paraId="1AA81457" w14:textId="77777777" w:rsidR="008461F5" w:rsidRDefault="008461F5" w:rsidP="00353498"/>
          <w:p w14:paraId="1D3C356E" w14:textId="3D2116D0" w:rsidR="008461F5" w:rsidRPr="008304CD" w:rsidRDefault="008461F5" w:rsidP="00353498">
            <w:pPr>
              <w:spacing w:after="120"/>
            </w:pPr>
            <w:r>
              <w:t>If no, what would it take to develop and formalize such a body?</w:t>
            </w:r>
          </w:p>
        </w:tc>
        <w:tc>
          <w:tcPr>
            <w:tcW w:w="4960" w:type="dxa"/>
            <w:tcMar>
              <w:top w:w="72" w:type="dxa"/>
              <w:left w:w="115" w:type="dxa"/>
              <w:right w:w="115" w:type="dxa"/>
            </w:tcMar>
          </w:tcPr>
          <w:p w14:paraId="29DA8CB0" w14:textId="77777777" w:rsidR="008461F5" w:rsidRDefault="008461F5" w:rsidP="00353498">
            <w:pPr>
              <w:pStyle w:val="Heading4"/>
              <w:outlineLvl w:val="3"/>
            </w:pPr>
          </w:p>
        </w:tc>
      </w:tr>
    </w:tbl>
    <w:p w14:paraId="66EFEECE" w14:textId="44046A0B" w:rsidR="007A2072" w:rsidRDefault="007A2072" w:rsidP="00353498"/>
    <w:p w14:paraId="1DA95305" w14:textId="77777777" w:rsidR="00421367" w:rsidRDefault="00421367" w:rsidP="00353498">
      <w:pPr>
        <w:spacing w:after="160"/>
        <w:rPr>
          <w:rFonts w:eastAsiaTheme="majorEastAsia" w:cstheme="majorBidi"/>
          <w:b/>
          <w:i/>
          <w:sz w:val="24"/>
          <w:szCs w:val="24"/>
        </w:rPr>
      </w:pPr>
      <w:r>
        <w:rPr>
          <w:b/>
        </w:rPr>
        <w:br w:type="page"/>
      </w:r>
    </w:p>
    <w:p w14:paraId="6BC8EF9E" w14:textId="3D4F98D8" w:rsidR="00672DED" w:rsidRDefault="00672DED" w:rsidP="00353498">
      <w:pPr>
        <w:pStyle w:val="Heading2"/>
        <w:rPr>
          <w:lang w:val="en-GB"/>
        </w:rPr>
      </w:pPr>
      <w:bookmarkStart w:id="16" w:name="_Toc511597548"/>
      <w:r>
        <w:rPr>
          <w:lang w:val="en-GB"/>
        </w:rPr>
        <w:lastRenderedPageBreak/>
        <w:t xml:space="preserve">Section 2: </w:t>
      </w:r>
      <w:r w:rsidR="007045A8">
        <w:rPr>
          <w:lang w:val="en-GB"/>
        </w:rPr>
        <w:t>CTE Program Alignment and Validation</w:t>
      </w:r>
      <w:bookmarkEnd w:id="16"/>
    </w:p>
    <w:p w14:paraId="385352BE" w14:textId="55FAF146" w:rsidR="00CA11C1" w:rsidRDefault="007045A8" w:rsidP="00353498">
      <w:r>
        <w:t xml:space="preserve">As noted in </w:t>
      </w:r>
      <w:hyperlink r:id="rId28" w:history="1">
        <w:r w:rsidRPr="00AC64ED">
          <w:rPr>
            <w:rStyle w:val="Hyperlink"/>
            <w:i/>
          </w:rPr>
          <w:t>Module 2: Driving Quality through Programs of Study</w:t>
        </w:r>
      </w:hyperlink>
      <w:r>
        <w:t>, employers</w:t>
      </w:r>
      <w:r w:rsidR="00E0400C">
        <w:t xml:space="preserve"> and labor market data</w:t>
      </w:r>
      <w:r>
        <w:t xml:space="preserve"> should play a prominent role </w:t>
      </w:r>
      <w:r w:rsidR="00AC64ED">
        <w:t>in the development and approval of high-</w:t>
      </w:r>
      <w:r w:rsidR="00E0400C">
        <w:t>quali</w:t>
      </w:r>
      <w:r w:rsidR="00CA11C1">
        <w:t>ty CTE program</w:t>
      </w:r>
      <w:r w:rsidR="00AC64ED">
        <w:t xml:space="preserve">s of study; </w:t>
      </w:r>
      <w:r w:rsidR="00CA11C1">
        <w:t xml:space="preserve">as a state leader, one of the levers available to you through </w:t>
      </w:r>
      <w:r w:rsidR="007B5277">
        <w:t>Perkins</w:t>
      </w:r>
      <w:r w:rsidR="00CA11C1">
        <w:t xml:space="preserve"> is to determine the </w:t>
      </w:r>
      <w:r w:rsidR="00E0400C">
        <w:t xml:space="preserve">degree to which employers are involved </w:t>
      </w:r>
      <w:r w:rsidR="00CA11C1">
        <w:t xml:space="preserve">in this process. </w:t>
      </w:r>
    </w:p>
    <w:p w14:paraId="07B3AC0E" w14:textId="77777777" w:rsidR="00CA11C1" w:rsidRDefault="00CA11C1" w:rsidP="00353498"/>
    <w:p w14:paraId="4540FABC" w14:textId="7EC5F7CB" w:rsidR="00E0400C" w:rsidRDefault="00AC64ED" w:rsidP="00353498">
      <w:r>
        <w:t xml:space="preserve">Specifically, </w:t>
      </w:r>
      <w:r w:rsidR="00E0400C">
        <w:t xml:space="preserve">there are multiple </w:t>
      </w:r>
      <w:r>
        <w:t xml:space="preserve">components that make up a high-quality program of study </w:t>
      </w:r>
      <w:r w:rsidR="00E0400C">
        <w:t>that require industry input and validation, including</w:t>
      </w:r>
      <w:r w:rsidR="00681DD9">
        <w:t>, but not limited to</w:t>
      </w:r>
      <w:r w:rsidR="00E0400C">
        <w:t xml:space="preserve">: </w:t>
      </w:r>
    </w:p>
    <w:p w14:paraId="0FC257D1" w14:textId="3C31F3D9" w:rsidR="00E0400C" w:rsidRDefault="00E0400C" w:rsidP="00353498">
      <w:pPr>
        <w:pStyle w:val="ListParagraph"/>
        <w:numPr>
          <w:ilvl w:val="0"/>
          <w:numId w:val="43"/>
        </w:numPr>
      </w:pPr>
      <w:r>
        <w:t>CTE standards</w:t>
      </w:r>
      <w:r w:rsidR="00AC64ED">
        <w:t>, which are foundational to the courses and program itself;</w:t>
      </w:r>
    </w:p>
    <w:p w14:paraId="3AB45349" w14:textId="4AB390E2" w:rsidR="00E0400C" w:rsidRDefault="00DD0F0E" w:rsidP="00353498">
      <w:pPr>
        <w:pStyle w:val="ListParagraph"/>
        <w:numPr>
          <w:ilvl w:val="0"/>
          <w:numId w:val="43"/>
        </w:numPr>
      </w:pPr>
      <w:r>
        <w:t>I</w:t>
      </w:r>
      <w:r w:rsidR="00E0400C">
        <w:t xml:space="preserve">ndustry-recognized </w:t>
      </w:r>
      <w:r w:rsidR="00AC64ED">
        <w:t>c</w:t>
      </w:r>
      <w:r w:rsidR="00E0400C">
        <w:t>redentials</w:t>
      </w:r>
      <w:r w:rsidR="00AC64ED">
        <w:t>, which anchor the program of study;</w:t>
      </w:r>
    </w:p>
    <w:p w14:paraId="4B338AC9" w14:textId="2FE2C2C4" w:rsidR="00FD1600" w:rsidRDefault="00DD0F0E" w:rsidP="00353498">
      <w:pPr>
        <w:pStyle w:val="ListParagraph"/>
        <w:numPr>
          <w:ilvl w:val="0"/>
          <w:numId w:val="43"/>
        </w:numPr>
      </w:pPr>
      <w:r>
        <w:t>L</w:t>
      </w:r>
      <w:r w:rsidR="00FD1600">
        <w:t>abor market information</w:t>
      </w:r>
      <w:r w:rsidR="00AC64ED">
        <w:t xml:space="preserve">, which signal the demand and relevance of programs of study; </w:t>
      </w:r>
    </w:p>
    <w:p w14:paraId="4977B41E" w14:textId="22C276F1" w:rsidR="00DD0F0E" w:rsidRDefault="00DD0F0E" w:rsidP="00353498">
      <w:pPr>
        <w:pStyle w:val="ListParagraph"/>
        <w:numPr>
          <w:ilvl w:val="0"/>
          <w:numId w:val="43"/>
        </w:numPr>
      </w:pPr>
      <w:r>
        <w:t xml:space="preserve">Instruction, which must be informed by industry standards </w:t>
      </w:r>
      <w:r w:rsidR="00681DD9">
        <w:t>and</w:t>
      </w:r>
      <w:r>
        <w:t xml:space="preserve"> practices; and</w:t>
      </w:r>
    </w:p>
    <w:p w14:paraId="0611A7C6" w14:textId="630D09A4" w:rsidR="00AC64ED" w:rsidRDefault="00AC64ED" w:rsidP="00353498">
      <w:pPr>
        <w:pStyle w:val="ListParagraph"/>
        <w:numPr>
          <w:ilvl w:val="0"/>
          <w:numId w:val="43"/>
        </w:numPr>
      </w:pPr>
      <w:r>
        <w:t>Work-based learning and Career Technical Student Organization experiences, which provide authentic experiential learning</w:t>
      </w:r>
      <w:r w:rsidR="00C475EA">
        <w:t xml:space="preserve"> to connect the classroom and world of work</w:t>
      </w:r>
      <w:r w:rsidR="00DD0F0E">
        <w:t>.</w:t>
      </w:r>
    </w:p>
    <w:p w14:paraId="28FBBCE6" w14:textId="77777777" w:rsidR="00681DD9" w:rsidRDefault="00681DD9" w:rsidP="00BB77FD"/>
    <w:p w14:paraId="41CA637C" w14:textId="7EC7EA41" w:rsidR="00681DD9" w:rsidRDefault="00681DD9" w:rsidP="00BB77FD">
      <w:r>
        <w:t>In addition, as discussed above</w:t>
      </w:r>
      <w:r w:rsidR="00BB77FD">
        <w:t>, employers can and should be involved in</w:t>
      </w:r>
      <w:r>
        <w:t xml:space="preserve"> discussions around the overall organization of CTE programs of study, through a statewide advisory committee or otherwise. A place many states start is with the National Career Clusters® Framework. </w:t>
      </w:r>
    </w:p>
    <w:p w14:paraId="46E77C09" w14:textId="77777777" w:rsidR="007045A8" w:rsidRDefault="007045A8" w:rsidP="00353498"/>
    <w:p w14:paraId="7F773BFE" w14:textId="77777777" w:rsidR="00FD1600" w:rsidRDefault="00672DED" w:rsidP="00353498">
      <w:pPr>
        <w:pBdr>
          <w:top w:val="single" w:sz="4" w:space="1" w:color="auto"/>
          <w:left w:val="single" w:sz="4" w:space="4" w:color="auto"/>
          <w:bottom w:val="single" w:sz="4" w:space="0" w:color="auto"/>
          <w:right w:val="single" w:sz="4" w:space="17" w:color="auto"/>
        </w:pBdr>
        <w:ind w:right="-180"/>
      </w:pPr>
      <w:r w:rsidRPr="00672DED">
        <w:rPr>
          <w:b/>
          <w:i/>
          <w:color w:val="009AA6"/>
        </w:rPr>
        <w:t>Helpful Resource</w:t>
      </w:r>
      <w:r w:rsidR="00FD1600">
        <w:rPr>
          <w:b/>
          <w:i/>
          <w:color w:val="009AA6"/>
        </w:rPr>
        <w:t>s</w:t>
      </w:r>
      <w:r w:rsidRPr="00672DED">
        <w:rPr>
          <w:color w:val="009AA6"/>
        </w:rPr>
        <w:t>:</w:t>
      </w:r>
      <w:r w:rsidRPr="00672DED">
        <w:t xml:space="preserve"> </w:t>
      </w:r>
    </w:p>
    <w:p w14:paraId="22C50B92" w14:textId="6D3CC376" w:rsidR="00FD1600" w:rsidRPr="00A00144" w:rsidRDefault="00437D23" w:rsidP="00353498">
      <w:pPr>
        <w:pBdr>
          <w:top w:val="single" w:sz="4" w:space="1" w:color="auto"/>
          <w:left w:val="single" w:sz="4" w:space="4" w:color="auto"/>
          <w:bottom w:val="single" w:sz="4" w:space="0" w:color="auto"/>
          <w:right w:val="single" w:sz="4" w:space="17" w:color="auto"/>
        </w:pBdr>
        <w:ind w:right="-180"/>
        <w:rPr>
          <w:i/>
        </w:rPr>
      </w:pPr>
      <w:hyperlink r:id="rId29" w:history="1">
        <w:r w:rsidR="00FD1600" w:rsidRPr="00A00144">
          <w:rPr>
            <w:rStyle w:val="Hyperlink"/>
            <w:i/>
          </w:rPr>
          <w:t>Credentials of Value: State Strategies for Identifying and Endorsing Industry-recognized Credentials</w:t>
        </w:r>
      </w:hyperlink>
    </w:p>
    <w:p w14:paraId="4F238133" w14:textId="6D4F95D7" w:rsidR="00FD1600" w:rsidRDefault="00FD1600" w:rsidP="00353498">
      <w:pPr>
        <w:pBdr>
          <w:top w:val="single" w:sz="4" w:space="1" w:color="auto"/>
          <w:left w:val="single" w:sz="4" w:space="4" w:color="auto"/>
          <w:bottom w:val="single" w:sz="4" w:space="0" w:color="auto"/>
          <w:right w:val="single" w:sz="4" w:space="17" w:color="auto"/>
        </w:pBdr>
        <w:ind w:right="-180"/>
      </w:pPr>
      <w:r>
        <w:t>T</w:t>
      </w:r>
      <w:r w:rsidRPr="00FD1600">
        <w:t>his policy brief from Advance CTE is designed to help states</w:t>
      </w:r>
      <w:r>
        <w:t xml:space="preserve"> create order out of the chaos of more than 4,000 industry credentials available on the market and shares how three states are developing systems f</w:t>
      </w:r>
      <w:r w:rsidRPr="00FD1600">
        <w:t xml:space="preserve">or </w:t>
      </w:r>
      <w:r>
        <w:t>learners</w:t>
      </w:r>
      <w:r w:rsidRPr="00FD1600">
        <w:t xml:space="preserve"> and employers to navigate the tangled universe of credentials</w:t>
      </w:r>
      <w:r w:rsidR="002A11FB">
        <w:t xml:space="preserve"> and ensure all programs culminate in a credential that is recognized and valued by the labor market.</w:t>
      </w:r>
    </w:p>
    <w:p w14:paraId="2EBCF9B9" w14:textId="77777777" w:rsidR="00FD1600" w:rsidRDefault="00FD1600" w:rsidP="00353498">
      <w:pPr>
        <w:pBdr>
          <w:top w:val="single" w:sz="4" w:space="1" w:color="auto"/>
          <w:left w:val="single" w:sz="4" w:space="4" w:color="auto"/>
          <w:bottom w:val="single" w:sz="4" w:space="0" w:color="auto"/>
          <w:right w:val="single" w:sz="4" w:space="17" w:color="auto"/>
        </w:pBdr>
        <w:ind w:right="-180"/>
      </w:pPr>
    </w:p>
    <w:p w14:paraId="56750DCB" w14:textId="1C456EEB" w:rsidR="00672DED" w:rsidRPr="00A00144" w:rsidRDefault="00437D23" w:rsidP="00353498">
      <w:pPr>
        <w:pBdr>
          <w:top w:val="single" w:sz="4" w:space="1" w:color="auto"/>
          <w:left w:val="single" w:sz="4" w:space="4" w:color="auto"/>
          <w:bottom w:val="single" w:sz="4" w:space="0" w:color="auto"/>
          <w:right w:val="single" w:sz="4" w:space="17" w:color="auto"/>
        </w:pBdr>
        <w:ind w:right="-180"/>
        <w:rPr>
          <w:rStyle w:val="Hyperlink"/>
          <w:i/>
        </w:rPr>
      </w:pPr>
      <w:hyperlink r:id="rId30" w:history="1">
        <w:r w:rsidR="00672DED" w:rsidRPr="00A00144">
          <w:rPr>
            <w:rStyle w:val="Hyperlink"/>
            <w:i/>
          </w:rPr>
          <w:t>Putting Labor Market Information in the Right Hands: A Guide</w:t>
        </w:r>
      </w:hyperlink>
    </w:p>
    <w:p w14:paraId="6B978E7B" w14:textId="5FE465B9" w:rsidR="00672DED" w:rsidRPr="00672DED" w:rsidRDefault="00672DED" w:rsidP="00353498">
      <w:pPr>
        <w:pBdr>
          <w:top w:val="single" w:sz="4" w:space="1" w:color="auto"/>
          <w:left w:val="single" w:sz="4" w:space="4" w:color="auto"/>
          <w:bottom w:val="single" w:sz="4" w:space="0" w:color="auto"/>
          <w:right w:val="single" w:sz="4" w:space="17" w:color="auto"/>
        </w:pBdr>
        <w:ind w:right="-180"/>
      </w:pPr>
      <w:r w:rsidRPr="00672DED">
        <w:t>This guide from Advance CTE is designed to help states think through the process of disseminating LMI more strategically. The guide highlights work done in Nevada, Kentucky and Washington and their dissemination of LMI to employers, districts and learners, and poses guiding questions for states to consider for each of those audiences.</w:t>
      </w:r>
    </w:p>
    <w:p w14:paraId="3F091E40" w14:textId="77777777" w:rsidR="00672DED" w:rsidRPr="00672DED" w:rsidRDefault="00672DED" w:rsidP="00353498">
      <w:pPr>
        <w:pBdr>
          <w:top w:val="single" w:sz="4" w:space="1" w:color="auto"/>
          <w:left w:val="single" w:sz="4" w:space="4" w:color="auto"/>
          <w:bottom w:val="single" w:sz="4" w:space="0" w:color="auto"/>
          <w:right w:val="single" w:sz="4" w:space="17" w:color="auto"/>
        </w:pBdr>
        <w:ind w:right="-180"/>
      </w:pPr>
    </w:p>
    <w:p w14:paraId="5BDA4ACD" w14:textId="044ABF00" w:rsidR="00672DED" w:rsidRDefault="00672DED" w:rsidP="00353498">
      <w:pPr>
        <w:pBdr>
          <w:top w:val="single" w:sz="4" w:space="1" w:color="auto"/>
          <w:left w:val="single" w:sz="4" w:space="4" w:color="auto"/>
          <w:bottom w:val="single" w:sz="4" w:space="0" w:color="auto"/>
          <w:right w:val="single" w:sz="4" w:space="17" w:color="auto"/>
        </w:pBdr>
        <w:ind w:right="-180"/>
      </w:pPr>
      <w:r w:rsidRPr="00672DED">
        <w:t>To receive addition</w:t>
      </w:r>
      <w:r w:rsidR="002A11FB">
        <w:t>al assistance on how to use either of these resources</w:t>
      </w:r>
      <w:r w:rsidRPr="00672DED">
        <w:t xml:space="preserve">, please email our State Policy Manager Ashleigh McFadden at </w:t>
      </w:r>
      <w:hyperlink r:id="rId31" w:history="1">
        <w:r w:rsidRPr="00672DED">
          <w:rPr>
            <w:rStyle w:val="Hyperlink"/>
          </w:rPr>
          <w:t>amcfadden@careertech.org</w:t>
        </w:r>
      </w:hyperlink>
      <w:r w:rsidRPr="00672DED">
        <w:rPr>
          <w:rStyle w:val="Hyperlink"/>
        </w:rPr>
        <w:t>.</w:t>
      </w:r>
      <w:r w:rsidRPr="00672DED">
        <w:t xml:space="preserve"> Advance CTE is happy to provide virtual and</w:t>
      </w:r>
      <w:r>
        <w:t xml:space="preserve"> in-person technical assistance</w:t>
      </w:r>
      <w:r w:rsidRPr="00672DED">
        <w:t>.</w:t>
      </w:r>
    </w:p>
    <w:p w14:paraId="43877763" w14:textId="77777777" w:rsidR="0005079E" w:rsidRDefault="0005079E" w:rsidP="00353498">
      <w:pPr>
        <w:pBdr>
          <w:top w:val="single" w:sz="4" w:space="1" w:color="auto"/>
          <w:left w:val="single" w:sz="4" w:space="4" w:color="auto"/>
          <w:bottom w:val="single" w:sz="4" w:space="0" w:color="auto"/>
          <w:right w:val="single" w:sz="4" w:space="17" w:color="auto"/>
        </w:pBdr>
        <w:ind w:right="-180"/>
      </w:pPr>
    </w:p>
    <w:p w14:paraId="032F6B1E" w14:textId="77777777" w:rsidR="00672DED" w:rsidRDefault="00672DED" w:rsidP="00353498"/>
    <w:p w14:paraId="2F0E99E8" w14:textId="074F2716" w:rsidR="00672DED" w:rsidRDefault="00AB7FD0" w:rsidP="00353498">
      <w:pPr>
        <w:pStyle w:val="Heading3"/>
        <w:rPr>
          <w:b/>
        </w:rPr>
      </w:pPr>
      <w:bookmarkStart w:id="17" w:name="_Toc511597549"/>
      <w:r w:rsidRPr="00AB7FD0">
        <w:rPr>
          <w:b/>
          <w:lang w:val="en-GB"/>
        </w:rPr>
        <w:t>CTE Program Alignment and Validation</w:t>
      </w:r>
      <w:bookmarkEnd w:id="17"/>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1710"/>
        <w:gridCol w:w="7758"/>
      </w:tblGrid>
      <w:tr w:rsidR="00F86111" w14:paraId="5176320D" w14:textId="77777777" w:rsidTr="007450F2">
        <w:trPr>
          <w:trHeight w:val="49"/>
        </w:trPr>
        <w:tc>
          <w:tcPr>
            <w:tcW w:w="1710" w:type="dxa"/>
            <w:shd w:val="clear" w:color="auto" w:fill="F2F2F2" w:themeFill="background1" w:themeFillShade="F2"/>
            <w:tcMar>
              <w:top w:w="72" w:type="dxa"/>
              <w:left w:w="115" w:type="dxa"/>
              <w:right w:w="115" w:type="dxa"/>
            </w:tcMar>
          </w:tcPr>
          <w:p w14:paraId="5C130AE6" w14:textId="77777777" w:rsidR="00F86111" w:rsidRPr="006169A9" w:rsidRDefault="00F86111" w:rsidP="00353498">
            <w:pPr>
              <w:rPr>
                <w:b/>
              </w:rPr>
            </w:pPr>
            <w:r>
              <w:rPr>
                <w:b/>
              </w:rPr>
              <w:t>Options &amp; Opportunities</w:t>
            </w:r>
          </w:p>
        </w:tc>
        <w:tc>
          <w:tcPr>
            <w:tcW w:w="7758" w:type="dxa"/>
            <w:shd w:val="clear" w:color="auto" w:fill="F2F2F2" w:themeFill="background1" w:themeFillShade="F2"/>
            <w:tcMar>
              <w:top w:w="72" w:type="dxa"/>
              <w:left w:w="115" w:type="dxa"/>
              <w:right w:w="115" w:type="dxa"/>
            </w:tcMar>
          </w:tcPr>
          <w:p w14:paraId="480E5112" w14:textId="549658C3" w:rsidR="00BF55F8" w:rsidRDefault="00BF55F8" w:rsidP="00353498">
            <w:pPr>
              <w:rPr>
                <w:b/>
              </w:rPr>
            </w:pPr>
            <w:r>
              <w:rPr>
                <w:b/>
              </w:rPr>
              <w:t>CTE Standards</w:t>
            </w:r>
          </w:p>
          <w:p w14:paraId="0FAB454E" w14:textId="1BE2CC45" w:rsidR="00253CB0" w:rsidRDefault="00437D23" w:rsidP="00353498">
            <w:hyperlink r:id="rId32" w:history="1">
              <w:r w:rsidR="001E626B">
                <w:rPr>
                  <w:rStyle w:val="Hyperlink"/>
                </w:rPr>
                <w:t>I</w:t>
              </w:r>
              <w:r w:rsidR="001E626B" w:rsidRPr="00FD1600">
                <w:rPr>
                  <w:rStyle w:val="Hyperlink"/>
                </w:rPr>
                <w:t>n 2013</w:t>
              </w:r>
            </w:hyperlink>
            <w:r w:rsidR="001E626B">
              <w:rPr>
                <w:rStyle w:val="Hyperlink"/>
              </w:rPr>
              <w:t xml:space="preserve">, </w:t>
            </w:r>
            <w:r w:rsidR="001E626B">
              <w:t xml:space="preserve">an Advance CTE </w:t>
            </w:r>
            <w:r w:rsidR="00281309">
              <w:t xml:space="preserve">report found that states </w:t>
            </w:r>
            <w:r w:rsidR="0005079E">
              <w:t xml:space="preserve">take a wide range of approaches to organizing and requiring standards for their CTE programs and courses at the secondary and postsecondary level. </w:t>
            </w:r>
            <w:r w:rsidR="00281309">
              <w:t>E</w:t>
            </w:r>
            <w:r w:rsidR="0005079E">
              <w:t xml:space="preserve">ven more so than academic standards, states often allow significant local decision-making with varying degrees of state-level guidance and policies to ensure implementation. </w:t>
            </w:r>
          </w:p>
          <w:p w14:paraId="7A166A70" w14:textId="77777777" w:rsidR="0005079E" w:rsidRDefault="0005079E" w:rsidP="00353498"/>
          <w:p w14:paraId="5DFCDEE6" w14:textId="77A40E6E" w:rsidR="00C43155" w:rsidRDefault="0005079E" w:rsidP="00353498">
            <w:r>
              <w:t xml:space="preserve">Why does this matter for employers? Your state standards for CTE – and the degree of adoption </w:t>
            </w:r>
            <w:r w:rsidR="00C43155">
              <w:t xml:space="preserve">and implementation </w:t>
            </w:r>
            <w:r>
              <w:t>at the secondary and postsecondary level – can be an easy signal to employer</w:t>
            </w:r>
            <w:r w:rsidR="00281309">
              <w:t>s about whether graduates</w:t>
            </w:r>
            <w:r>
              <w:t xml:space="preserve"> </w:t>
            </w:r>
            <w:r w:rsidR="00281309">
              <w:t xml:space="preserve">of a given CTE </w:t>
            </w:r>
            <w:r w:rsidR="00281309">
              <w:lastRenderedPageBreak/>
              <w:t xml:space="preserve">program </w:t>
            </w:r>
            <w:r>
              <w:t xml:space="preserve">will be equipped with the necessary knowledge and skills to succeed in the workplace. </w:t>
            </w:r>
            <w:r w:rsidR="001E626B">
              <w:t xml:space="preserve">And, </w:t>
            </w:r>
            <w:r w:rsidR="00281309">
              <w:t xml:space="preserve">when employers are not only engaged but an active participant in the design and validation of your state CTE standards, they can feel confident </w:t>
            </w:r>
            <w:r w:rsidR="00C43155">
              <w:t xml:space="preserve">that programs are up to current industry standards. </w:t>
            </w:r>
          </w:p>
          <w:p w14:paraId="1EEDCD6D" w14:textId="77777777" w:rsidR="00C43155" w:rsidRDefault="00C43155" w:rsidP="00353498"/>
          <w:p w14:paraId="5A6A9A52" w14:textId="46ABB79D" w:rsidR="00281309" w:rsidRDefault="00C43155" w:rsidP="00353498">
            <w:r>
              <w:t xml:space="preserve">In a </w:t>
            </w:r>
            <w:hyperlink r:id="rId33" w:history="1">
              <w:r w:rsidRPr="00FD1600">
                <w:rPr>
                  <w:rStyle w:val="Hyperlink"/>
                </w:rPr>
                <w:t>2014 report</w:t>
              </w:r>
            </w:hyperlink>
            <w:r>
              <w:t xml:space="preserve"> from Advance CTE, a survey of State Directors found that 39 states engage employers to some degree when developing and validating their state CTE standards. However, the level of involvement varied greatly from industry representatives serving on standards writing committees to participating in one-time surveys to provide feedback on draft standards.  </w:t>
            </w:r>
            <w:r w:rsidR="00281309">
              <w:t xml:space="preserve"> </w:t>
            </w:r>
          </w:p>
          <w:p w14:paraId="2EC34CEF" w14:textId="77777777" w:rsidR="001E626B" w:rsidRDefault="001E626B" w:rsidP="00353498"/>
          <w:p w14:paraId="156B49E3" w14:textId="1706E5EC" w:rsidR="001E626B" w:rsidRDefault="001E626B" w:rsidP="00353498">
            <w:r>
              <w:t xml:space="preserve">One caution: that 2013 report on state CTE standards found that that a majority of states had course-level standards that were more occupationally specific, rather than taking a broad approach and becoming more focused and specific over a program’s progression from secondary into postsecondary. To ensure learners have the most options available to them, it’s critical that standards begin broad to support multiple pathways. In some instances, employers may focus solely on those job-specific skills they need today, which can </w:t>
            </w:r>
            <w:r w:rsidR="007B5277">
              <w:t xml:space="preserve">require </w:t>
            </w:r>
            <w:r>
              <w:t xml:space="preserve">a balancing act in the standards development process. </w:t>
            </w:r>
          </w:p>
          <w:p w14:paraId="150878E0" w14:textId="77777777" w:rsidR="00FD1600" w:rsidRDefault="00FD1600" w:rsidP="00353498">
            <w:pPr>
              <w:rPr>
                <w:b/>
              </w:rPr>
            </w:pPr>
          </w:p>
          <w:p w14:paraId="26D80177" w14:textId="77777777" w:rsidR="00BF55F8" w:rsidRDefault="00BF55F8" w:rsidP="00353498">
            <w:pPr>
              <w:rPr>
                <w:b/>
              </w:rPr>
            </w:pPr>
            <w:r>
              <w:rPr>
                <w:b/>
              </w:rPr>
              <w:t>Industry-recognized Credentials</w:t>
            </w:r>
          </w:p>
          <w:p w14:paraId="6DE2DDD6" w14:textId="7EAF39E4" w:rsidR="00C43155" w:rsidRDefault="00FD1600" w:rsidP="00353498">
            <w:r>
              <w:t>In that same 2014 report, 28 states said employers help determine which credentials o</w:t>
            </w:r>
            <w:r w:rsidR="007B5277">
              <w:t>r</w:t>
            </w:r>
            <w:r>
              <w:t xml:space="preserve"> technical skills assessments should be used in CTE programs</w:t>
            </w:r>
            <w:r w:rsidR="001E626B">
              <w:t xml:space="preserve"> (a number that is likely higher today)</w:t>
            </w:r>
            <w:r>
              <w:t xml:space="preserve">, but again, frequency and intensity of this participation varied greatly.   </w:t>
            </w:r>
          </w:p>
          <w:p w14:paraId="42801B33" w14:textId="77777777" w:rsidR="00CA11C1" w:rsidRDefault="00CA11C1" w:rsidP="00353498"/>
          <w:p w14:paraId="428E0D8F" w14:textId="234CD1A5" w:rsidR="002A11FB" w:rsidRDefault="002A11FB" w:rsidP="00353498">
            <w:r>
              <w:t>Many states are grappling with how to untangl</w:t>
            </w:r>
            <w:r w:rsidR="007B5277">
              <w:t>e</w:t>
            </w:r>
            <w:r>
              <w:t xml:space="preserve"> the chaotic universe of industry-recognized credentials, and employer engagement is key to doing this. </w:t>
            </w:r>
          </w:p>
          <w:p w14:paraId="418434F8" w14:textId="22F9CBD8" w:rsidR="009E225D" w:rsidRDefault="002A11FB" w:rsidP="00353498">
            <w:r>
              <w:t xml:space="preserve">In our </w:t>
            </w:r>
            <w:hyperlink r:id="rId34" w:history="1">
              <w:r w:rsidRPr="009E225D">
                <w:rPr>
                  <w:rStyle w:val="Hyperlink"/>
                </w:rPr>
                <w:t>Credentials of Value</w:t>
              </w:r>
            </w:hyperlink>
            <w:r>
              <w:t xml:space="preserve"> report, </w:t>
            </w:r>
            <w:r w:rsidR="009E225D">
              <w:t xml:space="preserve">we found four common lessons from the leading states </w:t>
            </w:r>
            <w:r w:rsidR="00AB6893">
              <w:t xml:space="preserve">who are developing state-level processes to bring order to the credentials space. </w:t>
            </w:r>
            <w:r w:rsidR="009E225D">
              <w:t xml:space="preserve">Specifically: </w:t>
            </w:r>
          </w:p>
          <w:p w14:paraId="679D111C" w14:textId="1C820AAA" w:rsidR="009E225D" w:rsidRDefault="009E225D" w:rsidP="00353498">
            <w:pPr>
              <w:pStyle w:val="ListParagraph"/>
              <w:numPr>
                <w:ilvl w:val="0"/>
                <w:numId w:val="27"/>
              </w:numPr>
            </w:pPr>
            <w:r>
              <w:t>Bring business and industry to the table early;</w:t>
            </w:r>
          </w:p>
          <w:p w14:paraId="432EB213" w14:textId="20E9C57C" w:rsidR="009E225D" w:rsidRDefault="00F5354E" w:rsidP="00353498">
            <w:pPr>
              <w:pStyle w:val="ListParagraph"/>
              <w:numPr>
                <w:ilvl w:val="0"/>
                <w:numId w:val="27"/>
              </w:numPr>
            </w:pPr>
            <w:r>
              <w:t>Create</w:t>
            </w:r>
            <w:r w:rsidR="009E225D">
              <w:t xml:space="preserve"> a valuable review process requires concerted, cross-institutional effort;</w:t>
            </w:r>
          </w:p>
          <w:p w14:paraId="4B14D9EE" w14:textId="5B5EA68E" w:rsidR="009E225D" w:rsidRDefault="00986C36" w:rsidP="00353498">
            <w:pPr>
              <w:pStyle w:val="ListParagraph"/>
              <w:numPr>
                <w:ilvl w:val="0"/>
                <w:numId w:val="27"/>
              </w:numPr>
            </w:pPr>
            <w:r>
              <w:t>Differentiate credentials based on rigor and industry demand; and</w:t>
            </w:r>
          </w:p>
          <w:p w14:paraId="59286D2D" w14:textId="77777777" w:rsidR="00986C36" w:rsidRDefault="00986C36" w:rsidP="00353498">
            <w:pPr>
              <w:pStyle w:val="ListParagraph"/>
              <w:numPr>
                <w:ilvl w:val="0"/>
                <w:numId w:val="27"/>
              </w:numPr>
            </w:pPr>
            <w:r>
              <w:t xml:space="preserve">Develop systems that can be adaptive. </w:t>
            </w:r>
          </w:p>
          <w:p w14:paraId="47A049FF" w14:textId="77777777" w:rsidR="00CA11C1" w:rsidRDefault="00CA11C1" w:rsidP="00353498">
            <w:pPr>
              <w:pStyle w:val="ListParagraph"/>
            </w:pPr>
          </w:p>
          <w:p w14:paraId="07EA19BD" w14:textId="55137D7C" w:rsidR="00986C36" w:rsidRDefault="00AB6893" w:rsidP="00353498">
            <w:r>
              <w:t xml:space="preserve">It’s important to remember that credentials that are not recognized or accepted by employers provide negligible value, but </w:t>
            </w:r>
            <w:r w:rsidR="007B5277">
              <w:t>this recognition or lack thereof may not be equal in</w:t>
            </w:r>
            <w:r>
              <w:t xml:space="preserve"> every corner of your state. It’s important to consider your state context – which employers can help provide – to understand regional differences and the type of credentials that are on the “need to have” list for employers when making hiring decisions. </w:t>
            </w:r>
          </w:p>
          <w:p w14:paraId="6B4386A3" w14:textId="77777777" w:rsidR="00CA11C1" w:rsidRPr="00C43155" w:rsidRDefault="00CA11C1" w:rsidP="00353498"/>
          <w:p w14:paraId="10B36766" w14:textId="77777777" w:rsidR="00C43155" w:rsidRPr="00BF55F8" w:rsidRDefault="00C43155" w:rsidP="00353498">
            <w:pPr>
              <w:rPr>
                <w:b/>
              </w:rPr>
            </w:pPr>
            <w:r>
              <w:rPr>
                <w:b/>
              </w:rPr>
              <w:t>Labor Market Information</w:t>
            </w:r>
          </w:p>
          <w:p w14:paraId="4D925D6A" w14:textId="6FFBF448" w:rsidR="00C43155" w:rsidRDefault="001E626B" w:rsidP="00353498">
            <w:r>
              <w:t xml:space="preserve">Increasingly, </w:t>
            </w:r>
            <w:r w:rsidR="00C43155" w:rsidRPr="007217DF">
              <w:t xml:space="preserve">states, school districts and postsecondary institutions </w:t>
            </w:r>
            <w:r>
              <w:t xml:space="preserve">are using </w:t>
            </w:r>
            <w:r w:rsidR="00C43155">
              <w:t xml:space="preserve">LMI </w:t>
            </w:r>
            <w:r w:rsidR="00C43155" w:rsidRPr="007217DF">
              <w:t xml:space="preserve">to justify </w:t>
            </w:r>
            <w:r w:rsidR="00C43155">
              <w:t xml:space="preserve">creating </w:t>
            </w:r>
            <w:r w:rsidR="00C43155" w:rsidRPr="007217DF">
              <w:t>new</w:t>
            </w:r>
            <w:r w:rsidR="00C43155">
              <w:t xml:space="preserve"> CTE and</w:t>
            </w:r>
            <w:r w:rsidR="00C43155" w:rsidRPr="007217DF">
              <w:t xml:space="preserve"> inform program design. </w:t>
            </w:r>
            <w:r w:rsidR="00C43155">
              <w:t>This</w:t>
            </w:r>
            <w:r w:rsidR="00C43155" w:rsidRPr="007217DF">
              <w:t xml:space="preserve"> can include data on the current and projected number of openings in specific industry sectors, as well </w:t>
            </w:r>
            <w:r w:rsidR="00C43155" w:rsidRPr="007217DF">
              <w:lastRenderedPageBreak/>
              <w:t xml:space="preserve">as data on salary and any technological or policy advancements. </w:t>
            </w:r>
            <w:r w:rsidR="00C43155">
              <w:t>LMI data</w:t>
            </w:r>
            <w:r w:rsidR="00C43155" w:rsidRPr="007217DF">
              <w:t xml:space="preserve"> can also be used at the state, regional</w:t>
            </w:r>
            <w:r>
              <w:t xml:space="preserve"> or</w:t>
            </w:r>
            <w:r w:rsidR="00C43155" w:rsidRPr="007217DF">
              <w:t xml:space="preserve"> local </w:t>
            </w:r>
            <w:r w:rsidR="00C43155">
              <w:t xml:space="preserve">levels. Even students can use and access LMI to encourage career awareness and exploration </w:t>
            </w:r>
            <w:r w:rsidR="00C43155" w:rsidRPr="007217DF">
              <w:t>in priority</w:t>
            </w:r>
            <w:r w:rsidR="00C43155">
              <w:t xml:space="preserve"> industry</w:t>
            </w:r>
            <w:r w:rsidR="00C43155" w:rsidRPr="007217DF">
              <w:t xml:space="preserve"> sectors. </w:t>
            </w:r>
          </w:p>
          <w:p w14:paraId="03168F8B" w14:textId="77777777" w:rsidR="00C43155" w:rsidRDefault="00C43155" w:rsidP="00353498"/>
          <w:p w14:paraId="138D676B" w14:textId="77777777" w:rsidR="00C43155" w:rsidRDefault="00C43155" w:rsidP="00353498">
            <w:r>
              <w:t xml:space="preserve">Your industry partners play an important role in validating your state’s LMI. They can provide crucial context to the data, particularly as it relates to regional differences. For example, the energy sector near the coast may have very different needs than the energy field in a land-locked portion of the state.  </w:t>
            </w:r>
          </w:p>
          <w:p w14:paraId="32C535E3" w14:textId="77777777" w:rsidR="00C43155" w:rsidRDefault="00C43155" w:rsidP="00353498"/>
          <w:p w14:paraId="52B110EB" w14:textId="20D0E1F9" w:rsidR="00C43155" w:rsidRDefault="00C43155" w:rsidP="00353498">
            <w:r>
              <w:t>Having employer validation of this data may also help you garner the necessary buy-in from local districts and institutions as you use LMI to inform the design, approval</w:t>
            </w:r>
            <w:r w:rsidR="001E626B">
              <w:t xml:space="preserve">, </w:t>
            </w:r>
            <w:r>
              <w:t xml:space="preserve">re-approval </w:t>
            </w:r>
            <w:r w:rsidR="001E626B">
              <w:t xml:space="preserve">or even re-design </w:t>
            </w:r>
            <w:r>
              <w:t xml:space="preserve">of career pathways. </w:t>
            </w:r>
          </w:p>
          <w:p w14:paraId="47BCF6CA" w14:textId="77777777" w:rsidR="00BF55F8" w:rsidRDefault="00BF55F8" w:rsidP="00353498">
            <w:pPr>
              <w:spacing w:after="120"/>
            </w:pPr>
          </w:p>
          <w:p w14:paraId="407CD80F" w14:textId="10798E5F" w:rsidR="00BF55F8" w:rsidRPr="00BF55F8" w:rsidRDefault="00BF55F8" w:rsidP="00353498">
            <w:pPr>
              <w:rPr>
                <w:b/>
              </w:rPr>
            </w:pPr>
            <w:r>
              <w:rPr>
                <w:b/>
              </w:rPr>
              <w:t>Career Clusters</w:t>
            </w:r>
          </w:p>
          <w:p w14:paraId="3357ECC9" w14:textId="29802D39" w:rsidR="00164447" w:rsidRDefault="003D4578" w:rsidP="00353498">
            <w:r w:rsidRPr="00AA621A">
              <w:t xml:space="preserve">The National Career Cluster Framework laid the foundation for the transformation from vocational education to the CTE that we know today. The 16 Career Clusters span the full world of work and create an organizing framework for CTE in nearly every state. It can also be used </w:t>
            </w:r>
            <w:r w:rsidR="007B5277">
              <w:t xml:space="preserve">as </w:t>
            </w:r>
            <w:r w:rsidRPr="00AA621A">
              <w:t>an organizing framework to form partnerships and engage employers.</w:t>
            </w:r>
            <w:r>
              <w:t xml:space="preserve">  </w:t>
            </w:r>
            <w:r w:rsidR="00C43155">
              <w:t xml:space="preserve"> </w:t>
            </w:r>
          </w:p>
          <w:p w14:paraId="4C6E533D" w14:textId="612CC761" w:rsidR="00E75943" w:rsidRDefault="00E75943" w:rsidP="00353498"/>
          <w:p w14:paraId="0DE9B905" w14:textId="7EC025D1" w:rsidR="00E75943" w:rsidRDefault="00AA621A" w:rsidP="00353498">
            <w:r>
              <w:t xml:space="preserve">An important aspect of the Career Clusters is a strong focus on the economic development and workforce priorities that ensures flexibility for states to adapt one or more of the Career Clusters to reflect key objectives, standards or priorities as it aligns to </w:t>
            </w:r>
            <w:r w:rsidR="00F5354E">
              <w:t>the state’s</w:t>
            </w:r>
            <w:r>
              <w:t xml:space="preserve"> broader goals.</w:t>
            </w:r>
          </w:p>
          <w:p w14:paraId="519DCC5E" w14:textId="77777777" w:rsidR="001E626B" w:rsidRDefault="001E626B" w:rsidP="00353498"/>
          <w:p w14:paraId="2DB62025" w14:textId="7B21B744" w:rsidR="001E626B" w:rsidRDefault="001E626B" w:rsidP="00353498">
            <w:r>
              <w:t>Another critical aspect is the Framework’s flexibility. Many states have modified the Career Clusters Framework to meet their state’s need</w:t>
            </w:r>
            <w:r w:rsidR="00610F41">
              <w:t>s</w:t>
            </w:r>
            <w:r>
              <w:t xml:space="preserve"> and economic realities</w:t>
            </w:r>
            <w:r w:rsidR="007C2AE9">
              <w:t>.</w:t>
            </w:r>
            <w:r>
              <w:t xml:space="preserve"> Florida added a 17</w:t>
            </w:r>
            <w:r w:rsidRPr="009E503C">
              <w:rPr>
                <w:vertAlign w:val="superscript"/>
              </w:rPr>
              <w:t>th</w:t>
            </w:r>
            <w:r w:rsidR="007C2AE9">
              <w:t xml:space="preserve"> Career Cluster in e</w:t>
            </w:r>
            <w:r>
              <w:t xml:space="preserve">nergy, based on industry demand. And Nebraska has organized the 16 Career Clusters into six </w:t>
            </w:r>
            <w:r w:rsidR="007C2AE9">
              <w:t>c</w:t>
            </w:r>
            <w:r>
              <w:t xml:space="preserve">areer </w:t>
            </w:r>
            <w:r w:rsidR="007C2AE9">
              <w:t>f</w:t>
            </w:r>
            <w:r>
              <w:t xml:space="preserve">ields, which align with the state’s economic development priorities. </w:t>
            </w:r>
          </w:p>
          <w:p w14:paraId="6195F8C9" w14:textId="36B5E5E2" w:rsidR="00113E56" w:rsidRPr="00EE319E" w:rsidRDefault="00113E56" w:rsidP="00353498">
            <w:pPr>
              <w:spacing w:after="160"/>
            </w:pPr>
          </w:p>
        </w:tc>
      </w:tr>
      <w:tr w:rsidR="00F86111" w14:paraId="150A39BA" w14:textId="77777777" w:rsidTr="007450F2">
        <w:trPr>
          <w:trHeight w:val="609"/>
        </w:trPr>
        <w:tc>
          <w:tcPr>
            <w:tcW w:w="1710" w:type="dxa"/>
            <w:shd w:val="clear" w:color="auto" w:fill="D5FCFF"/>
            <w:tcMar>
              <w:top w:w="72" w:type="dxa"/>
              <w:left w:w="115" w:type="dxa"/>
              <w:right w:w="115" w:type="dxa"/>
            </w:tcMar>
          </w:tcPr>
          <w:p w14:paraId="3E6B004E" w14:textId="3AEA2AB9" w:rsidR="00F86111" w:rsidRPr="006169A9" w:rsidRDefault="00F86111" w:rsidP="00353498">
            <w:pPr>
              <w:rPr>
                <w:b/>
              </w:rPr>
            </w:pPr>
            <w:r>
              <w:rPr>
                <w:b/>
              </w:rPr>
              <w:lastRenderedPageBreak/>
              <w:t>State Example</w:t>
            </w:r>
            <w:r w:rsidR="00421367">
              <w:rPr>
                <w:b/>
              </w:rPr>
              <w:t>s</w:t>
            </w:r>
            <w:r>
              <w:rPr>
                <w:b/>
              </w:rPr>
              <w:t xml:space="preserve"> </w:t>
            </w:r>
          </w:p>
        </w:tc>
        <w:tc>
          <w:tcPr>
            <w:tcW w:w="7758" w:type="dxa"/>
            <w:shd w:val="clear" w:color="auto" w:fill="D5FCFF"/>
            <w:tcMar>
              <w:top w:w="72" w:type="dxa"/>
              <w:left w:w="115" w:type="dxa"/>
              <w:right w:w="115" w:type="dxa"/>
            </w:tcMar>
          </w:tcPr>
          <w:p w14:paraId="77EE2F87" w14:textId="67C1D004" w:rsidR="00DD4D6E" w:rsidRDefault="00DD4D6E" w:rsidP="00CB7281">
            <w:pPr>
              <w:rPr>
                <w:rStyle w:val="Hyperlink"/>
              </w:rPr>
            </w:pPr>
            <w:r>
              <w:t xml:space="preserve">In </w:t>
            </w:r>
            <w:r>
              <w:rPr>
                <w:b/>
              </w:rPr>
              <w:t>Nevada</w:t>
            </w:r>
            <w:r>
              <w:t xml:space="preserve">, the state restructured its existing </w:t>
            </w:r>
            <w:hyperlink r:id="rId35" w:history="1">
              <w:r w:rsidRPr="00CB7281">
                <w:rPr>
                  <w:rStyle w:val="Hyperlink"/>
                </w:rPr>
                <w:t>Industry Sector Councils</w:t>
              </w:r>
            </w:hyperlink>
            <w:r>
              <w:t xml:space="preserve"> to build better ownership and involvement from the business community. The Industry Councils, which consist of business, labor and education representatives, now provide recommendations on high-demand jobs, skills and education requirements to help the state meet its economic goals. The work of these councils now serve</w:t>
            </w:r>
            <w:r w:rsidR="00CB7281">
              <w:t>s</w:t>
            </w:r>
            <w:r>
              <w:t xml:space="preserve"> as the anchor for state-approved CTE career pathways. The councils are coordinated by the newly created Office of Workforce Innovation (</w:t>
            </w:r>
            <w:hyperlink r:id="rId36" w:history="1">
              <w:r w:rsidRPr="00CB7281">
                <w:rPr>
                  <w:rStyle w:val="Hyperlink"/>
                </w:rPr>
                <w:t>OWINN</w:t>
              </w:r>
            </w:hyperlink>
            <w:r>
              <w:t>), which</w:t>
            </w:r>
            <w:r w:rsidR="00BF55F8">
              <w:t xml:space="preserve"> was created by the governor and now codified in state law to </w:t>
            </w:r>
            <w:r>
              <w:t xml:space="preserve">prepare all K-12 students for college and career success, increase the state’s postsecondary degrees and credentials, and improve employment outcomes in training programs. </w:t>
            </w:r>
          </w:p>
          <w:p w14:paraId="4E0D5E99" w14:textId="2835A79A" w:rsidR="00534E0D" w:rsidRDefault="00534E0D" w:rsidP="00353498">
            <w:pPr>
              <w:rPr>
                <w:rStyle w:val="Hyperlink"/>
              </w:rPr>
            </w:pPr>
          </w:p>
          <w:p w14:paraId="2D6B7964" w14:textId="6185D3FF" w:rsidR="00534E0D" w:rsidRPr="00534E0D" w:rsidRDefault="00534E0D" w:rsidP="00353498">
            <w:pPr>
              <w:rPr>
                <w:rStyle w:val="Hyperlink"/>
                <w:color w:val="auto"/>
                <w:u w:val="none"/>
              </w:rPr>
            </w:pPr>
            <w:r>
              <w:rPr>
                <w:rStyle w:val="Hyperlink"/>
                <w:color w:val="auto"/>
                <w:u w:val="none"/>
              </w:rPr>
              <w:t xml:space="preserve">In 2016, </w:t>
            </w:r>
            <w:r w:rsidRPr="00CB7281">
              <w:rPr>
                <w:rStyle w:val="Hyperlink"/>
                <w:b/>
                <w:color w:val="auto"/>
                <w:u w:val="none"/>
              </w:rPr>
              <w:t>New Jersey</w:t>
            </w:r>
            <w:r>
              <w:rPr>
                <w:rStyle w:val="Hyperlink"/>
                <w:color w:val="auto"/>
                <w:u w:val="none"/>
              </w:rPr>
              <w:t xml:space="preserve">’s Credentials Review Board </w:t>
            </w:r>
            <w:hyperlink r:id="rId37" w:history="1">
              <w:r w:rsidR="00CB7281" w:rsidRPr="00CB7281">
                <w:rPr>
                  <w:rStyle w:val="Hyperlink"/>
                </w:rPr>
                <w:t>developed</w:t>
              </w:r>
            </w:hyperlink>
            <w:r w:rsidR="00CB7281">
              <w:rPr>
                <w:rStyle w:val="Hyperlink"/>
                <w:color w:val="auto"/>
                <w:u w:val="none"/>
              </w:rPr>
              <w:t xml:space="preserve"> for the first time a common list of industry-valued credentials used by education and workforce development. The journey to create this list followed an extensive period of employer input and public comment. Having a joint list was the state’s first step </w:t>
            </w:r>
            <w:r w:rsidR="00CB7281">
              <w:rPr>
                <w:rStyle w:val="Hyperlink"/>
                <w:color w:val="auto"/>
                <w:u w:val="none"/>
              </w:rPr>
              <w:lastRenderedPageBreak/>
              <w:t>toward better valuing career readiness in the state’s current accountability system as well as having a process and protocol for identifying meaningful industry-recognized credentials.</w:t>
            </w:r>
          </w:p>
          <w:p w14:paraId="368848D7" w14:textId="77777777" w:rsidR="00AA621A" w:rsidRPr="00532070" w:rsidRDefault="00AA621A" w:rsidP="00353498"/>
          <w:p w14:paraId="14A8C951" w14:textId="2FE53696" w:rsidR="009B7F7C" w:rsidRDefault="00164447" w:rsidP="00FF67CA">
            <w:r w:rsidRPr="00FF67CA">
              <w:rPr>
                <w:b/>
              </w:rPr>
              <w:t>L</w:t>
            </w:r>
            <w:r w:rsidR="00CB7281" w:rsidRPr="00FF67CA">
              <w:rPr>
                <w:b/>
              </w:rPr>
              <w:t>ouisiana</w:t>
            </w:r>
            <w:r w:rsidR="00CB7281">
              <w:t xml:space="preserve"> recently overhauled its high school </w:t>
            </w:r>
            <w:r w:rsidR="00FF67CA">
              <w:t xml:space="preserve">career diploma with its </w:t>
            </w:r>
            <w:hyperlink r:id="rId38" w:history="1">
              <w:r w:rsidR="00FF67CA" w:rsidRPr="00FF67CA">
                <w:rPr>
                  <w:rStyle w:val="Hyperlink"/>
                </w:rPr>
                <w:t>Jump Start</w:t>
              </w:r>
            </w:hyperlink>
            <w:r w:rsidR="00FF67CA">
              <w:t xml:space="preserve"> initiative. Jump Start formed regional public-private partnerships involving representatives from secondary, postsecondary and industry. These cross-sector teams helped the state develop and approve 47 graduation pathways in a variety of career fields, each culminating in an industry-recognized credential. Each pathway credential i</w:t>
            </w:r>
            <w:r w:rsidR="00610F41">
              <w:t>s</w:t>
            </w:r>
            <w:r w:rsidR="00FF67CA">
              <w:t xml:space="preserve"> approved and endorsed through a rigorous review process involving input from both the public and private sectors. </w:t>
            </w:r>
          </w:p>
          <w:p w14:paraId="29F7732C" w14:textId="437FB0A7" w:rsidR="00FF67CA" w:rsidRDefault="00FF67CA" w:rsidP="00CB7281">
            <w:pPr>
              <w:spacing w:after="160"/>
            </w:pPr>
          </w:p>
        </w:tc>
      </w:tr>
    </w:tbl>
    <w:p w14:paraId="445546C6" w14:textId="77777777" w:rsidR="00645B9D" w:rsidRDefault="00645B9D" w:rsidP="00353498"/>
    <w:p w14:paraId="1688E83C" w14:textId="06241D21" w:rsidR="007A2072" w:rsidRPr="002A6387" w:rsidRDefault="006B53D9" w:rsidP="00353498">
      <w:pPr>
        <w:pStyle w:val="Heading3"/>
        <w:rPr>
          <w:b/>
        </w:rPr>
      </w:pPr>
      <w:r>
        <w:rPr>
          <w:b/>
        </w:rPr>
        <w:br w:type="column"/>
      </w:r>
      <w:bookmarkStart w:id="18" w:name="_Toc511597550"/>
      <w:r w:rsidR="007A2072">
        <w:rPr>
          <w:b/>
        </w:rPr>
        <w:lastRenderedPageBreak/>
        <w:t xml:space="preserve">Key Questions: </w:t>
      </w:r>
      <w:r w:rsidR="003F5776" w:rsidRPr="003F5776">
        <w:rPr>
          <w:b/>
          <w:lang w:val="en-GB"/>
        </w:rPr>
        <w:t>CTE Program Alignment and Validation</w:t>
      </w:r>
      <w:bookmarkEnd w:id="18"/>
    </w:p>
    <w:p w14:paraId="1D41F228" w14:textId="77777777" w:rsidR="007A2072" w:rsidRDefault="007A2072" w:rsidP="00353498">
      <w:r>
        <w:t xml:space="preserve">Answer the questions below in the space provided. While these questions are all optional, we encourage you to capture your thoughts here so that you can easily refer back to them. </w:t>
      </w:r>
    </w:p>
    <w:tbl>
      <w:tblPr>
        <w:tblStyle w:val="TableGrid"/>
        <w:tblpPr w:leftFromText="180" w:rightFromText="180" w:vertAnchor="text" w:horzAnchor="page" w:tblpX="1303" w:tblpY="170"/>
        <w:tblW w:w="9990" w:type="dxa"/>
        <w:tblLook w:val="04A0" w:firstRow="1" w:lastRow="0" w:firstColumn="1" w:lastColumn="0" w:noHBand="0" w:noVBand="1"/>
      </w:tblPr>
      <w:tblGrid>
        <w:gridCol w:w="1479"/>
        <w:gridCol w:w="3483"/>
        <w:gridCol w:w="5028"/>
      </w:tblGrid>
      <w:tr w:rsidR="003E6168" w:rsidRPr="006169A9" w14:paraId="748C0EDD" w14:textId="77777777" w:rsidTr="0009653B">
        <w:trPr>
          <w:trHeight w:val="458"/>
          <w:tblHeader/>
        </w:trPr>
        <w:tc>
          <w:tcPr>
            <w:tcW w:w="1479" w:type="dxa"/>
            <w:shd w:val="clear" w:color="auto" w:fill="F2F2F2" w:themeFill="background1" w:themeFillShade="F2"/>
            <w:tcMar>
              <w:top w:w="72" w:type="dxa"/>
              <w:left w:w="115" w:type="dxa"/>
              <w:right w:w="115" w:type="dxa"/>
            </w:tcMar>
            <w:vAlign w:val="center"/>
          </w:tcPr>
          <w:p w14:paraId="05F3B064" w14:textId="77777777" w:rsidR="003E6168" w:rsidRPr="006169A9" w:rsidRDefault="003E6168" w:rsidP="00353498">
            <w:pPr>
              <w:pStyle w:val="Heading4"/>
              <w:outlineLvl w:val="3"/>
            </w:pPr>
            <w:r>
              <w:br w:type="page"/>
            </w:r>
          </w:p>
        </w:tc>
        <w:tc>
          <w:tcPr>
            <w:tcW w:w="3483" w:type="dxa"/>
            <w:shd w:val="clear" w:color="auto" w:fill="F2F2F2" w:themeFill="background1" w:themeFillShade="F2"/>
            <w:tcMar>
              <w:top w:w="72" w:type="dxa"/>
              <w:left w:w="115" w:type="dxa"/>
              <w:right w:w="115" w:type="dxa"/>
            </w:tcMar>
          </w:tcPr>
          <w:p w14:paraId="70C2A738" w14:textId="77777777" w:rsidR="003E6168" w:rsidRPr="006169A9" w:rsidRDefault="003E6168" w:rsidP="00353498">
            <w:pPr>
              <w:jc w:val="center"/>
              <w:rPr>
                <w:b/>
                <w:i/>
                <w:sz w:val="24"/>
              </w:rPr>
            </w:pPr>
            <w:r>
              <w:rPr>
                <w:b/>
                <w:i/>
                <w:sz w:val="24"/>
              </w:rPr>
              <w:t>Key Questions</w:t>
            </w:r>
          </w:p>
        </w:tc>
        <w:tc>
          <w:tcPr>
            <w:tcW w:w="5028" w:type="dxa"/>
            <w:shd w:val="clear" w:color="auto" w:fill="F2F2F2" w:themeFill="background1" w:themeFillShade="F2"/>
            <w:tcMar>
              <w:top w:w="72" w:type="dxa"/>
              <w:left w:w="115" w:type="dxa"/>
              <w:right w:w="115" w:type="dxa"/>
            </w:tcMar>
          </w:tcPr>
          <w:p w14:paraId="769606B4" w14:textId="77777777" w:rsidR="003E4F12" w:rsidRDefault="00606BD0" w:rsidP="00353498">
            <w:pPr>
              <w:jc w:val="center"/>
            </w:pPr>
            <w:r w:rsidRPr="007A798E">
              <w:rPr>
                <w:b/>
                <w:i/>
                <w:sz w:val="24"/>
              </w:rPr>
              <w:t>State Response</w:t>
            </w:r>
          </w:p>
        </w:tc>
      </w:tr>
      <w:tr w:rsidR="0009653B" w14:paraId="0FEBE41F" w14:textId="77777777" w:rsidTr="0009653B">
        <w:trPr>
          <w:trHeight w:val="1805"/>
          <w:tblHeader/>
        </w:trPr>
        <w:tc>
          <w:tcPr>
            <w:tcW w:w="1479" w:type="dxa"/>
            <w:vMerge w:val="restart"/>
            <w:tcMar>
              <w:top w:w="72" w:type="dxa"/>
              <w:left w:w="115" w:type="dxa"/>
              <w:right w:w="115" w:type="dxa"/>
            </w:tcMar>
            <w:vAlign w:val="center"/>
          </w:tcPr>
          <w:p w14:paraId="3C232EA5" w14:textId="76955713" w:rsidR="0009653B" w:rsidRPr="00685DA7" w:rsidRDefault="003F5776" w:rsidP="00353498">
            <w:pPr>
              <w:rPr>
                <w:b/>
                <w:i/>
                <w:sz w:val="24"/>
              </w:rPr>
            </w:pPr>
            <w:r w:rsidRPr="003F5776">
              <w:rPr>
                <w:b/>
                <w:i/>
                <w:sz w:val="24"/>
                <w:lang w:val="en-GB"/>
              </w:rPr>
              <w:t>CTE Program Alignment and Validation</w:t>
            </w:r>
          </w:p>
        </w:tc>
        <w:tc>
          <w:tcPr>
            <w:tcW w:w="3483" w:type="dxa"/>
            <w:tcMar>
              <w:top w:w="72" w:type="dxa"/>
              <w:left w:w="115" w:type="dxa"/>
              <w:right w:w="115" w:type="dxa"/>
            </w:tcMar>
          </w:tcPr>
          <w:p w14:paraId="2CC13B3F" w14:textId="26CDC117" w:rsidR="00421367" w:rsidRDefault="004A762D" w:rsidP="00266E28">
            <w:pPr>
              <w:spacing w:after="120"/>
            </w:pPr>
            <w:r>
              <w:t>What mechanisms</w:t>
            </w:r>
            <w:r w:rsidR="00610F41">
              <w:t xml:space="preserve"> are</w:t>
            </w:r>
            <w:r>
              <w:t xml:space="preserve"> in place to ensure diversity of industry </w:t>
            </w:r>
            <w:r w:rsidR="00266E28">
              <w:t>voices when soliciting input</w:t>
            </w:r>
            <w:r>
              <w:t xml:space="preserve"> into state CTE standards?</w:t>
            </w:r>
            <w:r w:rsidR="00266E28">
              <w:t xml:space="preserve"> Are there a</w:t>
            </w:r>
            <w:r>
              <w:t>reas for improvement?</w:t>
            </w:r>
          </w:p>
        </w:tc>
        <w:tc>
          <w:tcPr>
            <w:tcW w:w="5028" w:type="dxa"/>
            <w:tcMar>
              <w:top w:w="72" w:type="dxa"/>
              <w:left w:w="115" w:type="dxa"/>
              <w:right w:w="115" w:type="dxa"/>
            </w:tcMar>
          </w:tcPr>
          <w:p w14:paraId="0C0AA86C" w14:textId="77777777" w:rsidR="0009653B" w:rsidRDefault="0009653B" w:rsidP="00353498">
            <w:pPr>
              <w:pStyle w:val="Heading4"/>
              <w:outlineLvl w:val="3"/>
            </w:pPr>
          </w:p>
        </w:tc>
      </w:tr>
      <w:tr w:rsidR="00022A73" w14:paraId="05D41ED1" w14:textId="77777777" w:rsidTr="00993197">
        <w:trPr>
          <w:trHeight w:val="1178"/>
          <w:tblHeader/>
        </w:trPr>
        <w:tc>
          <w:tcPr>
            <w:tcW w:w="1479" w:type="dxa"/>
            <w:vMerge/>
            <w:tcMar>
              <w:top w:w="72" w:type="dxa"/>
              <w:left w:w="115" w:type="dxa"/>
              <w:right w:w="115" w:type="dxa"/>
            </w:tcMar>
          </w:tcPr>
          <w:p w14:paraId="679B252B" w14:textId="77777777" w:rsidR="00022A73" w:rsidRPr="006169A9" w:rsidRDefault="00022A73" w:rsidP="00353498">
            <w:pPr>
              <w:pStyle w:val="Heading4"/>
              <w:outlineLvl w:val="3"/>
            </w:pPr>
          </w:p>
        </w:tc>
        <w:tc>
          <w:tcPr>
            <w:tcW w:w="3483" w:type="dxa"/>
            <w:tcMar>
              <w:top w:w="72" w:type="dxa"/>
              <w:left w:w="115" w:type="dxa"/>
              <w:right w:w="115" w:type="dxa"/>
            </w:tcMar>
          </w:tcPr>
          <w:p w14:paraId="45EDCD65" w14:textId="1FE64283" w:rsidR="00022A73" w:rsidRPr="00C501C0" w:rsidRDefault="00993197" w:rsidP="00993197">
            <w:pPr>
              <w:spacing w:after="120"/>
            </w:pPr>
            <w:r>
              <w:t xml:space="preserve">How are credentials of value defined and chosen in your state? </w:t>
            </w:r>
          </w:p>
        </w:tc>
        <w:tc>
          <w:tcPr>
            <w:tcW w:w="5028" w:type="dxa"/>
            <w:tcMar>
              <w:top w:w="72" w:type="dxa"/>
              <w:left w:w="115" w:type="dxa"/>
              <w:right w:w="115" w:type="dxa"/>
            </w:tcMar>
          </w:tcPr>
          <w:p w14:paraId="4EED6F50" w14:textId="77777777" w:rsidR="00022A73" w:rsidRDefault="00022A73" w:rsidP="00353498">
            <w:pPr>
              <w:pStyle w:val="Heading4"/>
              <w:outlineLvl w:val="3"/>
            </w:pPr>
          </w:p>
        </w:tc>
      </w:tr>
      <w:tr w:rsidR="00022A73" w14:paraId="42C9F2AD" w14:textId="77777777">
        <w:trPr>
          <w:trHeight w:val="1027"/>
          <w:tblHeader/>
        </w:trPr>
        <w:tc>
          <w:tcPr>
            <w:tcW w:w="1479" w:type="dxa"/>
            <w:vMerge/>
            <w:tcMar>
              <w:top w:w="72" w:type="dxa"/>
              <w:left w:w="115" w:type="dxa"/>
              <w:right w:w="115" w:type="dxa"/>
            </w:tcMar>
          </w:tcPr>
          <w:p w14:paraId="35AEE7BB" w14:textId="77777777" w:rsidR="00022A73" w:rsidRPr="006169A9" w:rsidRDefault="00022A73" w:rsidP="00993197">
            <w:pPr>
              <w:pStyle w:val="Heading4"/>
              <w:spacing w:before="0"/>
              <w:outlineLvl w:val="3"/>
            </w:pPr>
          </w:p>
        </w:tc>
        <w:tc>
          <w:tcPr>
            <w:tcW w:w="3483" w:type="dxa"/>
            <w:tcMar>
              <w:top w:w="72" w:type="dxa"/>
              <w:left w:w="115" w:type="dxa"/>
              <w:right w:w="115" w:type="dxa"/>
            </w:tcMar>
          </w:tcPr>
          <w:p w14:paraId="3A9C1A53" w14:textId="77777777" w:rsidR="00022A73" w:rsidRDefault="00993197" w:rsidP="00993197">
            <w:r>
              <w:t>Does your state use different credentials lists across agencies and disciplines or is the list common across the state?</w:t>
            </w:r>
          </w:p>
          <w:p w14:paraId="57F17658" w14:textId="77777777" w:rsidR="00993197" w:rsidRDefault="00993197" w:rsidP="00993197"/>
          <w:p w14:paraId="11FCC66E" w14:textId="648831F5" w:rsidR="00993197" w:rsidRPr="005C3E37" w:rsidRDefault="00993197" w:rsidP="00993197">
            <w:pPr>
              <w:spacing w:after="120"/>
            </w:pPr>
            <w:r>
              <w:t>What role do employers play in validating and updating this list?</w:t>
            </w:r>
          </w:p>
        </w:tc>
        <w:tc>
          <w:tcPr>
            <w:tcW w:w="5028" w:type="dxa"/>
            <w:tcMar>
              <w:top w:w="72" w:type="dxa"/>
              <w:left w:w="115" w:type="dxa"/>
              <w:right w:w="115" w:type="dxa"/>
            </w:tcMar>
          </w:tcPr>
          <w:p w14:paraId="2955271B" w14:textId="77777777" w:rsidR="00022A73" w:rsidRDefault="00022A73" w:rsidP="00993197">
            <w:pPr>
              <w:pStyle w:val="Heading4"/>
              <w:spacing w:before="0"/>
              <w:outlineLvl w:val="3"/>
            </w:pPr>
          </w:p>
        </w:tc>
      </w:tr>
      <w:tr w:rsidR="0009653B" w14:paraId="106E2CA0" w14:textId="77777777">
        <w:trPr>
          <w:trHeight w:val="1027"/>
          <w:tblHeader/>
        </w:trPr>
        <w:tc>
          <w:tcPr>
            <w:tcW w:w="1479" w:type="dxa"/>
            <w:vMerge/>
            <w:tcMar>
              <w:top w:w="72" w:type="dxa"/>
              <w:left w:w="115" w:type="dxa"/>
              <w:right w:w="115" w:type="dxa"/>
            </w:tcMar>
          </w:tcPr>
          <w:p w14:paraId="586FB5B5" w14:textId="11AABB8C" w:rsidR="0009653B" w:rsidRPr="006169A9" w:rsidRDefault="0009653B" w:rsidP="00353498">
            <w:pPr>
              <w:pStyle w:val="Heading4"/>
              <w:outlineLvl w:val="3"/>
            </w:pPr>
          </w:p>
        </w:tc>
        <w:tc>
          <w:tcPr>
            <w:tcW w:w="3483" w:type="dxa"/>
            <w:tcMar>
              <w:top w:w="72" w:type="dxa"/>
              <w:left w:w="115" w:type="dxa"/>
              <w:right w:w="115" w:type="dxa"/>
            </w:tcMar>
          </w:tcPr>
          <w:p w14:paraId="509AB8F2" w14:textId="00216E97" w:rsidR="0009653B" w:rsidRDefault="00993197" w:rsidP="00353498">
            <w:pPr>
              <w:spacing w:after="120"/>
            </w:pPr>
            <w:r>
              <w:t>How does you use LMI to inform your state’s program of study offerings?</w:t>
            </w:r>
          </w:p>
        </w:tc>
        <w:tc>
          <w:tcPr>
            <w:tcW w:w="5028" w:type="dxa"/>
            <w:tcMar>
              <w:top w:w="72" w:type="dxa"/>
              <w:left w:w="115" w:type="dxa"/>
              <w:right w:w="115" w:type="dxa"/>
            </w:tcMar>
          </w:tcPr>
          <w:p w14:paraId="5AB5EDBC" w14:textId="77777777" w:rsidR="0009653B" w:rsidRDefault="0009653B" w:rsidP="00353498">
            <w:pPr>
              <w:pStyle w:val="Heading4"/>
              <w:outlineLvl w:val="3"/>
            </w:pPr>
          </w:p>
        </w:tc>
      </w:tr>
      <w:tr w:rsidR="0009653B" w14:paraId="3FBD1DA3" w14:textId="77777777">
        <w:trPr>
          <w:trHeight w:val="1027"/>
          <w:tblHeader/>
        </w:trPr>
        <w:tc>
          <w:tcPr>
            <w:tcW w:w="1479" w:type="dxa"/>
            <w:vMerge/>
            <w:tcMar>
              <w:top w:w="72" w:type="dxa"/>
              <w:left w:w="115" w:type="dxa"/>
              <w:right w:w="115" w:type="dxa"/>
            </w:tcMar>
          </w:tcPr>
          <w:p w14:paraId="6DB2BC1B" w14:textId="77777777" w:rsidR="0009653B" w:rsidRPr="006169A9" w:rsidRDefault="0009653B" w:rsidP="00353498">
            <w:pPr>
              <w:pStyle w:val="Heading4"/>
              <w:outlineLvl w:val="3"/>
            </w:pPr>
          </w:p>
        </w:tc>
        <w:tc>
          <w:tcPr>
            <w:tcW w:w="3483" w:type="dxa"/>
            <w:tcMar>
              <w:top w:w="72" w:type="dxa"/>
              <w:left w:w="115" w:type="dxa"/>
              <w:right w:w="115" w:type="dxa"/>
            </w:tcMar>
          </w:tcPr>
          <w:p w14:paraId="5A5AA18C" w14:textId="61F45C56" w:rsidR="00993197" w:rsidRDefault="00993197" w:rsidP="00993197">
            <w:r>
              <w:t xml:space="preserve">How does your state use the Career Clusters? How is it used at the state and local levels? </w:t>
            </w:r>
          </w:p>
          <w:p w14:paraId="76873F55" w14:textId="77777777" w:rsidR="00993197" w:rsidRDefault="00993197" w:rsidP="00993197"/>
          <w:p w14:paraId="76D4315A" w14:textId="77777777" w:rsidR="0009653B" w:rsidRDefault="00993197" w:rsidP="00993197">
            <w:r>
              <w:t>Has this structure changed over the years in your state and/or does it need to evolve?</w:t>
            </w:r>
          </w:p>
          <w:p w14:paraId="7CE74AAC" w14:textId="6A0B9B88" w:rsidR="00603B6D" w:rsidRDefault="00603B6D" w:rsidP="00993197"/>
        </w:tc>
        <w:tc>
          <w:tcPr>
            <w:tcW w:w="5028" w:type="dxa"/>
            <w:tcMar>
              <w:top w:w="72" w:type="dxa"/>
              <w:left w:w="115" w:type="dxa"/>
              <w:right w:w="115" w:type="dxa"/>
            </w:tcMar>
          </w:tcPr>
          <w:p w14:paraId="502893DB" w14:textId="77777777" w:rsidR="0009653B" w:rsidRDefault="0009653B" w:rsidP="00353498">
            <w:pPr>
              <w:pStyle w:val="Heading4"/>
              <w:outlineLvl w:val="3"/>
            </w:pPr>
          </w:p>
        </w:tc>
      </w:tr>
    </w:tbl>
    <w:p w14:paraId="5526D154" w14:textId="3D9595E4" w:rsidR="00421367" w:rsidRDefault="00421367" w:rsidP="00353498"/>
    <w:p w14:paraId="4D39588F" w14:textId="77777777" w:rsidR="00421367" w:rsidRDefault="00421367" w:rsidP="00353498">
      <w:pPr>
        <w:rPr>
          <w:rFonts w:eastAsiaTheme="majorEastAsia" w:cstheme="majorBidi"/>
          <w:sz w:val="24"/>
          <w:szCs w:val="24"/>
        </w:rPr>
      </w:pPr>
      <w:r>
        <w:br w:type="page"/>
      </w:r>
    </w:p>
    <w:p w14:paraId="7209F4CB" w14:textId="45B31B7C" w:rsidR="00423B67" w:rsidRPr="004B589F" w:rsidRDefault="00423B67" w:rsidP="00353498">
      <w:pPr>
        <w:pStyle w:val="Style1"/>
        <w:numPr>
          <w:ilvl w:val="0"/>
          <w:numId w:val="0"/>
        </w:numPr>
        <w:rPr>
          <w:b/>
        </w:rPr>
      </w:pPr>
      <w:bookmarkStart w:id="19" w:name="_Toc511597551"/>
      <w:r>
        <w:rPr>
          <w:b/>
        </w:rPr>
        <w:lastRenderedPageBreak/>
        <w:t>Partnering with Employers to Strengthen Your State CTE System</w:t>
      </w:r>
      <w:bookmarkEnd w:id="19"/>
      <w:r>
        <w:rPr>
          <w:b/>
        </w:rPr>
        <w:t xml:space="preserve"> </w:t>
      </w:r>
    </w:p>
    <w:p w14:paraId="1E2087BC" w14:textId="076BE5BF" w:rsidR="00423B67" w:rsidRDefault="00AA621A" w:rsidP="00353498">
      <w:pPr>
        <w:rPr>
          <w:lang w:val="en-GB"/>
        </w:rPr>
      </w:pPr>
      <w:r>
        <w:rPr>
          <w:lang w:val="en-GB"/>
        </w:rPr>
        <w:t xml:space="preserve">Beyond alignment, states can partner with employers in key ways </w:t>
      </w:r>
      <w:r w:rsidR="005F06E3">
        <w:rPr>
          <w:lang w:val="en-GB"/>
        </w:rPr>
        <w:t>to add capacity to the CTE system, such as facilitating employers’ role</w:t>
      </w:r>
      <w:r w:rsidR="00D830A8">
        <w:rPr>
          <w:lang w:val="en-GB"/>
        </w:rPr>
        <w:t>s</w:t>
      </w:r>
      <w:r w:rsidR="005F06E3">
        <w:rPr>
          <w:lang w:val="en-GB"/>
        </w:rPr>
        <w:t xml:space="preserve"> in</w:t>
      </w:r>
      <w:r>
        <w:rPr>
          <w:lang w:val="en-GB"/>
        </w:rPr>
        <w:t xml:space="preserve"> providing work-based learning opportunities and serving as industry experts in the classroom. </w:t>
      </w:r>
    </w:p>
    <w:p w14:paraId="535995CD" w14:textId="77777777" w:rsidR="00423B67" w:rsidRDefault="00423B67" w:rsidP="00353498">
      <w:pPr>
        <w:rPr>
          <w:rFonts w:eastAsiaTheme="majorEastAsia" w:cstheme="majorBidi"/>
          <w:b/>
          <w:i/>
          <w:color w:val="FF6D14"/>
          <w:sz w:val="24"/>
          <w:szCs w:val="26"/>
          <w:lang w:val="en-GB"/>
        </w:rPr>
      </w:pPr>
    </w:p>
    <w:p w14:paraId="2C074602" w14:textId="1F8F3682" w:rsidR="00D132A3" w:rsidRDefault="00423B67" w:rsidP="00353498">
      <w:pPr>
        <w:pStyle w:val="Heading2"/>
        <w:rPr>
          <w:lang w:val="en-GB"/>
        </w:rPr>
      </w:pPr>
      <w:bookmarkStart w:id="20" w:name="_Toc511597552"/>
      <w:r>
        <w:rPr>
          <w:lang w:val="en-GB"/>
        </w:rPr>
        <w:t>Section 1</w:t>
      </w:r>
      <w:r w:rsidR="00084B3A">
        <w:rPr>
          <w:lang w:val="en-GB"/>
        </w:rPr>
        <w:t xml:space="preserve">: </w:t>
      </w:r>
      <w:r>
        <w:rPr>
          <w:lang w:val="en-GB"/>
        </w:rPr>
        <w:t>Work-based Learning</w:t>
      </w:r>
      <w:bookmarkEnd w:id="20"/>
    </w:p>
    <w:p w14:paraId="2E158F52" w14:textId="714628EE" w:rsidR="000A57CF" w:rsidRDefault="00CC147D" w:rsidP="00353498">
      <w:pPr>
        <w:rPr>
          <w:lang w:val="en-GB"/>
        </w:rPr>
      </w:pPr>
      <w:r>
        <w:rPr>
          <w:lang w:val="en-GB"/>
        </w:rPr>
        <w:t xml:space="preserve">Work-based learning has been a longstanding feature of CTE in one form or another, and today is enjoying a renaissance of sorts as states reconsider how to use work-based learning as part of a broader strategy to prepare learners for both college and careers. At the state level, scale has always been a critical challenge to expanding work-based learning opportunities, and employers play a key role in making this a reality. </w:t>
      </w:r>
    </w:p>
    <w:p w14:paraId="2B9D2195" w14:textId="77777777" w:rsidR="00CC147D" w:rsidRDefault="00CC147D" w:rsidP="00353498">
      <w:pPr>
        <w:rPr>
          <w:lang w:val="en-GB"/>
        </w:rPr>
      </w:pPr>
    </w:p>
    <w:p w14:paraId="461E12FE" w14:textId="0CDD10BE" w:rsidR="00CC147D" w:rsidRDefault="00CC147D" w:rsidP="00353498">
      <w:pPr>
        <w:rPr>
          <w:lang w:val="en-GB"/>
        </w:rPr>
      </w:pPr>
      <w:r>
        <w:rPr>
          <w:lang w:val="en-GB"/>
        </w:rPr>
        <w:t>As a state leader, you can use yo</w:t>
      </w:r>
      <w:r w:rsidR="00311B94">
        <w:rPr>
          <w:lang w:val="en-GB"/>
        </w:rPr>
        <w:t xml:space="preserve">ur position and influence to review your work-based learning policies and supports and consider where you can remove barriers to encourage greater employer participation and as a result, create more opportunities for all learners to take part in these valuable experiences. </w:t>
      </w:r>
    </w:p>
    <w:p w14:paraId="14AEE308" w14:textId="77777777" w:rsidR="00311B94" w:rsidRDefault="00311B94" w:rsidP="00353498">
      <w:pPr>
        <w:rPr>
          <w:lang w:val="en-GB"/>
        </w:rPr>
      </w:pPr>
    </w:p>
    <w:p w14:paraId="14486B79" w14:textId="5B3411FD" w:rsidR="00311B94" w:rsidRDefault="00311B94" w:rsidP="00353498">
      <w:pPr>
        <w:rPr>
          <w:lang w:val="en-GB"/>
        </w:rPr>
      </w:pPr>
      <w:r>
        <w:rPr>
          <w:lang w:val="en-GB"/>
        </w:rPr>
        <w:t xml:space="preserve">It is important to consider all learner levels as you embark on this process and take stock of your current policies and offerings, and understand the unique challenges that may face certain groups, such as learners under 18, more than others.  </w:t>
      </w:r>
    </w:p>
    <w:p w14:paraId="0C8FC485" w14:textId="77777777" w:rsidR="00423B67" w:rsidRDefault="00423B67" w:rsidP="00353498">
      <w:pPr>
        <w:rPr>
          <w:lang w:val="en-GB"/>
        </w:rPr>
      </w:pPr>
    </w:p>
    <w:p w14:paraId="0CC01A02" w14:textId="77777777" w:rsidR="00423B67" w:rsidRDefault="00423B67" w:rsidP="00353498">
      <w:pPr>
        <w:pBdr>
          <w:top w:val="single" w:sz="4" w:space="1" w:color="auto"/>
          <w:left w:val="single" w:sz="4" w:space="4" w:color="auto"/>
          <w:bottom w:val="single" w:sz="4" w:space="0" w:color="auto"/>
          <w:right w:val="single" w:sz="4" w:space="17" w:color="auto"/>
        </w:pBdr>
        <w:ind w:right="-180"/>
        <w:rPr>
          <w:color w:val="009AA6"/>
        </w:rPr>
      </w:pPr>
      <w:r w:rsidRPr="00672DED">
        <w:rPr>
          <w:b/>
          <w:i/>
          <w:color w:val="009AA6"/>
        </w:rPr>
        <w:t>Helpful Resource</w:t>
      </w:r>
      <w:r>
        <w:rPr>
          <w:b/>
          <w:i/>
          <w:color w:val="009AA6"/>
        </w:rPr>
        <w:t>s</w:t>
      </w:r>
      <w:r w:rsidRPr="00672DED">
        <w:rPr>
          <w:color w:val="009AA6"/>
        </w:rPr>
        <w:t>:</w:t>
      </w:r>
    </w:p>
    <w:p w14:paraId="023ED450" w14:textId="3BF2ACB2" w:rsidR="00423B67" w:rsidRPr="00A00144" w:rsidRDefault="00437D23" w:rsidP="00353498">
      <w:pPr>
        <w:pBdr>
          <w:top w:val="single" w:sz="4" w:space="1" w:color="auto"/>
          <w:left w:val="single" w:sz="4" w:space="4" w:color="auto"/>
          <w:bottom w:val="single" w:sz="4" w:space="0" w:color="auto"/>
          <w:right w:val="single" w:sz="4" w:space="17" w:color="auto"/>
        </w:pBdr>
        <w:ind w:right="-180"/>
        <w:rPr>
          <w:i/>
        </w:rPr>
      </w:pPr>
      <w:hyperlink r:id="rId39" w:history="1">
        <w:r w:rsidR="00423B67" w:rsidRPr="00A00144">
          <w:rPr>
            <w:rStyle w:val="Hyperlink"/>
            <w:i/>
          </w:rPr>
          <w:t>Connecting the Classroom to Careers: A Comprehensive Guide to the State's Role in Work-based Learning</w:t>
        </w:r>
      </w:hyperlink>
      <w:r w:rsidR="00423B67" w:rsidRPr="00A00144">
        <w:rPr>
          <w:i/>
        </w:rPr>
        <w:t xml:space="preserve"> </w:t>
      </w:r>
    </w:p>
    <w:p w14:paraId="56381140" w14:textId="62D6EE9B" w:rsidR="00423B67" w:rsidRDefault="00423B67" w:rsidP="00353498">
      <w:pPr>
        <w:pBdr>
          <w:top w:val="single" w:sz="4" w:space="1" w:color="auto"/>
          <w:left w:val="single" w:sz="4" w:space="4" w:color="auto"/>
          <w:bottom w:val="single" w:sz="4" w:space="0" w:color="auto"/>
          <w:right w:val="single" w:sz="4" w:space="17" w:color="auto"/>
        </w:pBdr>
        <w:ind w:right="-180"/>
      </w:pPr>
      <w:r w:rsidRPr="00423B67">
        <w:t>Advance CTE's comprehensive work-based learning guide provides key considerations and guiding questions to walk states through the steps of building and scaling a high-quality work-based learning system, drawing on high-quality programs and innovative</w:t>
      </w:r>
      <w:r>
        <w:t xml:space="preserve"> strategies from across the United States.</w:t>
      </w:r>
    </w:p>
    <w:p w14:paraId="161EEC1C" w14:textId="77777777" w:rsidR="00423B67" w:rsidRDefault="00423B67" w:rsidP="00353498">
      <w:pPr>
        <w:pBdr>
          <w:top w:val="single" w:sz="4" w:space="1" w:color="auto"/>
          <w:left w:val="single" w:sz="4" w:space="4" w:color="auto"/>
          <w:bottom w:val="single" w:sz="4" w:space="0" w:color="auto"/>
          <w:right w:val="single" w:sz="4" w:space="17" w:color="auto"/>
        </w:pBdr>
        <w:ind w:right="-180"/>
      </w:pPr>
    </w:p>
    <w:p w14:paraId="3FFAB47E" w14:textId="2DF92486" w:rsidR="00423B67" w:rsidRPr="00A00144" w:rsidRDefault="00437D23" w:rsidP="00353498">
      <w:pPr>
        <w:pBdr>
          <w:top w:val="single" w:sz="4" w:space="1" w:color="auto"/>
          <w:left w:val="single" w:sz="4" w:space="4" w:color="auto"/>
          <w:bottom w:val="single" w:sz="4" w:space="0" w:color="auto"/>
          <w:right w:val="single" w:sz="4" w:space="17" w:color="auto"/>
        </w:pBdr>
        <w:ind w:right="-180"/>
        <w:rPr>
          <w:rStyle w:val="Hyperlink"/>
          <w:i/>
          <w:color w:val="auto"/>
          <w:u w:val="none"/>
        </w:rPr>
      </w:pPr>
      <w:hyperlink r:id="rId40" w:history="1">
        <w:r w:rsidR="00423B67" w:rsidRPr="00A00144">
          <w:rPr>
            <w:rStyle w:val="Hyperlink"/>
            <w:i/>
          </w:rPr>
          <w:t>Opportunities for Connecting Secondary CTE Students and Apprenticeship Programs: Report and Toolkit</w:t>
        </w:r>
      </w:hyperlink>
    </w:p>
    <w:p w14:paraId="3F63BC42" w14:textId="67D80C9E" w:rsidR="00423B67" w:rsidRPr="00672DED" w:rsidRDefault="00423B67" w:rsidP="00353498">
      <w:pPr>
        <w:pBdr>
          <w:top w:val="single" w:sz="4" w:space="1" w:color="auto"/>
          <w:left w:val="single" w:sz="4" w:space="4" w:color="auto"/>
          <w:bottom w:val="single" w:sz="4" w:space="0" w:color="auto"/>
          <w:right w:val="single" w:sz="4" w:space="17" w:color="auto"/>
        </w:pBdr>
        <w:ind w:right="-180"/>
      </w:pPr>
      <w:r w:rsidRPr="00423B67">
        <w:rPr>
          <w:rStyle w:val="Hyperlink"/>
          <w:color w:val="auto"/>
          <w:u w:val="none"/>
        </w:rPr>
        <w:t>This report by Advance CTE profiles eight secondary apprenticeship programs and identifies strategies to connect CTE students with apprenticeship programs.</w:t>
      </w:r>
      <w:r>
        <w:rPr>
          <w:rStyle w:val="Hyperlink"/>
          <w:color w:val="auto"/>
          <w:u w:val="none"/>
        </w:rPr>
        <w:t xml:space="preserve"> A companion toolkit provides planning guides to help state and local leaders improve these connections.</w:t>
      </w:r>
    </w:p>
    <w:p w14:paraId="7039F67C" w14:textId="77777777" w:rsidR="00423B67" w:rsidRPr="00672DED" w:rsidRDefault="00423B67" w:rsidP="00353498">
      <w:pPr>
        <w:pBdr>
          <w:top w:val="single" w:sz="4" w:space="1" w:color="auto"/>
          <w:left w:val="single" w:sz="4" w:space="4" w:color="auto"/>
          <w:bottom w:val="single" w:sz="4" w:space="0" w:color="auto"/>
          <w:right w:val="single" w:sz="4" w:space="17" w:color="auto"/>
        </w:pBdr>
        <w:ind w:right="-180"/>
      </w:pPr>
    </w:p>
    <w:p w14:paraId="7AB1E0F7" w14:textId="11D365E9" w:rsidR="00423B67" w:rsidRDefault="00B447D6" w:rsidP="00353498">
      <w:pPr>
        <w:pBdr>
          <w:top w:val="single" w:sz="4" w:space="1" w:color="auto"/>
          <w:left w:val="single" w:sz="4" w:space="4" w:color="auto"/>
          <w:bottom w:val="single" w:sz="4" w:space="0" w:color="auto"/>
          <w:right w:val="single" w:sz="4" w:space="17" w:color="auto"/>
        </w:pBdr>
        <w:spacing w:after="120"/>
        <w:ind w:right="-180"/>
      </w:pPr>
      <w:r>
        <w:t>For technical assistance using these resources,</w:t>
      </w:r>
      <w:r w:rsidR="00423B67" w:rsidRPr="00672DED">
        <w:t xml:space="preserve"> please email our State Policy Manager Ashleigh McFadden at </w:t>
      </w:r>
      <w:hyperlink r:id="rId41" w:history="1">
        <w:r w:rsidR="00423B67" w:rsidRPr="00672DED">
          <w:rPr>
            <w:rStyle w:val="Hyperlink"/>
          </w:rPr>
          <w:t>amcfadden@careertech.org</w:t>
        </w:r>
      </w:hyperlink>
      <w:r w:rsidR="00423B67" w:rsidRPr="00672DED">
        <w:rPr>
          <w:rStyle w:val="Hyperlink"/>
        </w:rPr>
        <w:t>.</w:t>
      </w:r>
      <w:r w:rsidR="00423B67" w:rsidRPr="00672DED">
        <w:t xml:space="preserve"> Advance CTE is happy to provide virtual and</w:t>
      </w:r>
      <w:r w:rsidR="00423B67">
        <w:t xml:space="preserve"> in-person technical assistance</w:t>
      </w:r>
      <w:r w:rsidR="00423B67" w:rsidRPr="00672DED">
        <w:t>.</w:t>
      </w:r>
    </w:p>
    <w:p w14:paraId="43E062F9" w14:textId="77777777" w:rsidR="00423B67" w:rsidRDefault="00423B67" w:rsidP="00353498">
      <w:pPr>
        <w:rPr>
          <w:lang w:val="en-GB"/>
        </w:rPr>
      </w:pPr>
    </w:p>
    <w:p w14:paraId="79634B5F" w14:textId="62A89866" w:rsidR="00D132A3" w:rsidRPr="007E2CFF" w:rsidRDefault="00423B67" w:rsidP="00353498">
      <w:pPr>
        <w:pStyle w:val="Heading3"/>
        <w:rPr>
          <w:b/>
        </w:rPr>
      </w:pPr>
      <w:bookmarkStart w:id="21" w:name="_Toc511597553"/>
      <w:r>
        <w:rPr>
          <w:b/>
        </w:rPr>
        <w:t>Work-based Learning</w:t>
      </w:r>
      <w:bookmarkEnd w:id="21"/>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1710"/>
        <w:gridCol w:w="7758"/>
      </w:tblGrid>
      <w:tr w:rsidR="00D132A3" w14:paraId="600E6F9B" w14:textId="77777777" w:rsidTr="00614685">
        <w:trPr>
          <w:trHeight w:val="49"/>
        </w:trPr>
        <w:tc>
          <w:tcPr>
            <w:tcW w:w="1710" w:type="dxa"/>
            <w:shd w:val="clear" w:color="auto" w:fill="F2F2F2" w:themeFill="background1" w:themeFillShade="F2"/>
            <w:tcMar>
              <w:top w:w="72" w:type="dxa"/>
              <w:left w:w="115" w:type="dxa"/>
              <w:right w:w="115" w:type="dxa"/>
            </w:tcMar>
          </w:tcPr>
          <w:p w14:paraId="714F7C3C" w14:textId="77777777" w:rsidR="00D132A3" w:rsidRPr="006169A9" w:rsidRDefault="00D132A3" w:rsidP="00353498">
            <w:pPr>
              <w:rPr>
                <w:b/>
              </w:rPr>
            </w:pPr>
            <w:r>
              <w:rPr>
                <w:b/>
              </w:rPr>
              <w:t>Options &amp; Opportunities</w:t>
            </w:r>
          </w:p>
        </w:tc>
        <w:tc>
          <w:tcPr>
            <w:tcW w:w="7758" w:type="dxa"/>
            <w:shd w:val="clear" w:color="auto" w:fill="F2F2F2" w:themeFill="background1" w:themeFillShade="F2"/>
            <w:tcMar>
              <w:top w:w="72" w:type="dxa"/>
              <w:left w:w="115" w:type="dxa"/>
              <w:right w:w="115" w:type="dxa"/>
            </w:tcMar>
          </w:tcPr>
          <w:p w14:paraId="563A926F" w14:textId="77777777" w:rsidR="00311B94" w:rsidRPr="00311B94" w:rsidRDefault="00311B94" w:rsidP="00353498">
            <w:pPr>
              <w:rPr>
                <w:b/>
              </w:rPr>
            </w:pPr>
            <w:r w:rsidRPr="00311B94">
              <w:rPr>
                <w:b/>
              </w:rPr>
              <w:t>Setting a Vision for Work-based Learning</w:t>
            </w:r>
          </w:p>
          <w:p w14:paraId="0579A849" w14:textId="625398D9" w:rsidR="005F06E3" w:rsidRDefault="00FD6722" w:rsidP="00353498">
            <w:r>
              <w:t>By now, the idea of s</w:t>
            </w:r>
            <w:r w:rsidR="00311B94">
              <w:t xml:space="preserve">etting a clear vision for </w:t>
            </w:r>
            <w:r>
              <w:t xml:space="preserve">CTE is a message that continues to be reinforced throughout these modules. For work-based learning, this can be especially important given its place straddling the worlds of education and the workforce. </w:t>
            </w:r>
          </w:p>
          <w:p w14:paraId="6B2EDFCE" w14:textId="77777777" w:rsidR="005F06E3" w:rsidRDefault="005F06E3" w:rsidP="00353498"/>
          <w:p w14:paraId="0A68A801" w14:textId="19AE2BB2" w:rsidR="00FD6722" w:rsidRDefault="00FD6722" w:rsidP="00353498">
            <w:r>
              <w:t>A statewide vision for work-based learning can serve as a platform for building consensus and creating common expectations with critical partners</w:t>
            </w:r>
            <w:r w:rsidR="005F06E3">
              <w:t>, including</w:t>
            </w:r>
            <w:r>
              <w:t xml:space="preserve"> employers. It can also help states identify and leverage resources while ensuring that new and existing work-based learning opportunities align with related </w:t>
            </w:r>
            <w:r>
              <w:lastRenderedPageBreak/>
              <w:t xml:space="preserve">policies and initiatives in thoughtful and intentional ways to integrate it into the broader state policy environment. </w:t>
            </w:r>
          </w:p>
          <w:p w14:paraId="05037994" w14:textId="77777777" w:rsidR="00FD6722" w:rsidRDefault="00FD6722" w:rsidP="00353498"/>
          <w:p w14:paraId="715BE42D" w14:textId="254A13E5" w:rsidR="00FD6722" w:rsidRDefault="00FD6722" w:rsidP="00353498">
            <w:r>
              <w:t xml:space="preserve">A clear, concise, well-known statewide vision should include a shared definition of work-based learning and make clear the roles of </w:t>
            </w:r>
            <w:r w:rsidR="005F06E3">
              <w:t>all stakeholders</w:t>
            </w:r>
            <w:r>
              <w:t xml:space="preserve"> in helping to implement and achieve this vision. Getting this step right will make the topics that follow in this section become more straightforward.</w:t>
            </w:r>
          </w:p>
          <w:p w14:paraId="3B141628" w14:textId="77777777" w:rsidR="00345F39" w:rsidRDefault="00345F39" w:rsidP="00353498"/>
          <w:p w14:paraId="0CA2DA0C" w14:textId="77777777" w:rsidR="00345F39" w:rsidRDefault="00345F39" w:rsidP="00353498">
            <w:pPr>
              <w:rPr>
                <w:i/>
              </w:rPr>
            </w:pPr>
            <w:r>
              <w:rPr>
                <w:i/>
              </w:rPr>
              <w:t>Key Definition:</w:t>
            </w:r>
          </w:p>
          <w:p w14:paraId="4D2F2917" w14:textId="2D39EBC2" w:rsidR="00345F39" w:rsidRPr="00345F39" w:rsidRDefault="00345F39" w:rsidP="00353498">
            <w:pPr>
              <w:rPr>
                <w:i/>
              </w:rPr>
            </w:pPr>
            <w:r w:rsidRPr="00345F39">
              <w:rPr>
                <w:i/>
              </w:rPr>
              <w:t xml:space="preserve">In Advance CTE’s yearlong series on work-based learning, we used the following definition, which drew from the work of </w:t>
            </w:r>
            <w:hyperlink r:id="rId42" w:history="1">
              <w:r w:rsidRPr="00345F39">
                <w:rPr>
                  <w:rStyle w:val="Hyperlink"/>
                  <w:i/>
                </w:rPr>
                <w:t>WestEd</w:t>
              </w:r>
            </w:hyperlink>
            <w:r w:rsidRPr="00345F39">
              <w:rPr>
                <w:i/>
              </w:rPr>
              <w:t xml:space="preserve"> and its widely </w:t>
            </w:r>
            <w:r w:rsidR="001050FE">
              <w:rPr>
                <w:i/>
              </w:rPr>
              <w:t>respected</w:t>
            </w:r>
            <w:r w:rsidRPr="00345F39">
              <w:rPr>
                <w:i/>
              </w:rPr>
              <w:t xml:space="preserve"> research on work-based learning and its effectiveness:</w:t>
            </w:r>
          </w:p>
          <w:p w14:paraId="5E93A5D8" w14:textId="5FF4CB7B" w:rsidR="00345F39" w:rsidRPr="00345F39" w:rsidRDefault="00345F39" w:rsidP="00353498">
            <w:pPr>
              <w:ind w:left="335"/>
            </w:pPr>
            <w:r w:rsidRPr="00345F39">
              <w:br/>
              <w:t>Work-based learning is a continuum of experiences that helps prepare students for postsecondary education and careers. High-quality work-based learning should begin in the early grades with activities that help build students’ awareness of possible careers. This exploration continues through middle and high school with job shadowing or mentoring to better inform students’ decision making, and culminates with more intensive career preparation activities such as school-based enterprises, internships and pre-apprenticeships as students move along in their career pathway from high school to postsecondary education</w:t>
            </w:r>
            <w:r>
              <w:t>.</w:t>
            </w:r>
          </w:p>
          <w:p w14:paraId="60F6A9FF" w14:textId="77777777" w:rsidR="00311B94" w:rsidRDefault="00311B94" w:rsidP="00353498"/>
          <w:p w14:paraId="162F8070" w14:textId="579C9245" w:rsidR="00311B94" w:rsidRDefault="00311B94" w:rsidP="00353498">
            <w:pPr>
              <w:rPr>
                <w:b/>
              </w:rPr>
            </w:pPr>
            <w:r>
              <w:rPr>
                <w:b/>
              </w:rPr>
              <w:t xml:space="preserve">Leveraging Intermediaries and Other Employer Partners </w:t>
            </w:r>
          </w:p>
          <w:p w14:paraId="5F0D11F5" w14:textId="0ABB5354" w:rsidR="00345F39" w:rsidRDefault="009014D7" w:rsidP="00353498">
            <w:r>
              <w:t>Effectively managing work-based learning opportunities requires many layers of coordination, and your employer partners are key to this. At the center is typically an intermediary, be it a school</w:t>
            </w:r>
            <w:r w:rsidR="005F06E3">
              <w:t xml:space="preserve">, </w:t>
            </w:r>
            <w:r>
              <w:t xml:space="preserve">institution or even a regional or state entity. These intermediaries’ function is to support the full continuum of work-based learning and career development activities for learners. This role – independent of an instructor who has an already overflowing workload – is one of the key common elements of any successful work-based learning program because there is someone dedicated to coordinating the program, and in particular, managing the relationships between educators and employers. </w:t>
            </w:r>
          </w:p>
          <w:p w14:paraId="32E519D2" w14:textId="77777777" w:rsidR="009014D7" w:rsidRDefault="009014D7" w:rsidP="00353498"/>
          <w:p w14:paraId="31B7D178" w14:textId="579FBC42" w:rsidR="00844186" w:rsidRDefault="009014D7" w:rsidP="00353498">
            <w:r>
              <w:t>State leaders should consider how it can direct funding and technical assistance to support</w:t>
            </w:r>
            <w:r w:rsidR="00844186">
              <w:t xml:space="preserve"> or expand</w:t>
            </w:r>
            <w:r>
              <w:t xml:space="preserve"> the existence of individual coordinators</w:t>
            </w:r>
            <w:r w:rsidR="00844186">
              <w:t xml:space="preserve">. </w:t>
            </w:r>
            <w:r>
              <w:t xml:space="preserve"> </w:t>
            </w:r>
            <w:r w:rsidR="00844186" w:rsidRPr="00844186">
              <w:t xml:space="preserve">Consider also </w:t>
            </w:r>
            <w:r w:rsidR="00844186">
              <w:t xml:space="preserve">your state’s </w:t>
            </w:r>
            <w:r w:rsidR="00844186" w:rsidRPr="00844186">
              <w:t xml:space="preserve">existing private sector </w:t>
            </w:r>
            <w:r w:rsidR="00844186">
              <w:t>organizations</w:t>
            </w:r>
            <w:r w:rsidR="00844186" w:rsidRPr="00844186">
              <w:t xml:space="preserve"> such as your </w:t>
            </w:r>
            <w:r w:rsidR="00844186">
              <w:t>Chamber of Commerce or</w:t>
            </w:r>
            <w:r w:rsidR="00844186" w:rsidRPr="00844186">
              <w:t xml:space="preserve"> Career </w:t>
            </w:r>
            <w:r w:rsidR="00844186">
              <w:t xml:space="preserve">Technical Student Organizations. These organizations often </w:t>
            </w:r>
            <w:r w:rsidR="00844186" w:rsidRPr="00844186">
              <w:t>h</w:t>
            </w:r>
            <w:r w:rsidR="00844186">
              <w:t>ave a network of deep employer relationships</w:t>
            </w:r>
            <w:r w:rsidR="00844186" w:rsidRPr="00844186">
              <w:t xml:space="preserve"> who already understand CTE’s value and may be primed for deeper</w:t>
            </w:r>
            <w:r w:rsidR="00844186">
              <w:t xml:space="preserve"> engagement such as work-based learning.</w:t>
            </w:r>
            <w:r w:rsidR="00844186" w:rsidRPr="00844186">
              <w:t xml:space="preserve"> </w:t>
            </w:r>
            <w:r w:rsidR="00844186">
              <w:t xml:space="preserve">Once identified, it would be important to formalize these partnerships with an MOU or some type of clear, shared agreement of expectations and roles. </w:t>
            </w:r>
          </w:p>
          <w:p w14:paraId="3BE0F082" w14:textId="77777777" w:rsidR="00311B94" w:rsidRPr="00311B94" w:rsidRDefault="00311B94" w:rsidP="00353498"/>
          <w:p w14:paraId="65E00AF4" w14:textId="544AE0BD" w:rsidR="00311B94" w:rsidRDefault="00311B94" w:rsidP="00353498">
            <w:r>
              <w:rPr>
                <w:b/>
              </w:rPr>
              <w:t>Dismantling Real and Perceived Legal Barriers</w:t>
            </w:r>
            <w:r w:rsidR="001050FE">
              <w:rPr>
                <w:b/>
              </w:rPr>
              <w:t xml:space="preserve"> </w:t>
            </w:r>
          </w:p>
          <w:p w14:paraId="75D172D5" w14:textId="51598E47" w:rsidR="00311B94" w:rsidRDefault="00844186" w:rsidP="00353498">
            <w:r>
              <w:t xml:space="preserve">One of the clearest roles for state leaders is attending to the policy and legal infrastructure that undergirds work-based learning. Understanding what is – and isn’t – allowed </w:t>
            </w:r>
            <w:r w:rsidR="00882116">
              <w:t xml:space="preserve">under state and federal law is one of the biggest barriers to employer participation in work-based learning, particularly for learners under 18. </w:t>
            </w:r>
            <w:r w:rsidR="00882116">
              <w:lastRenderedPageBreak/>
              <w:t>Some states have created fact sheets and guidance to bust the myths around liability and insurance, but using a staff member as a single point of contact for these questions is critical</w:t>
            </w:r>
            <w:r w:rsidR="00D830A8">
              <w:t xml:space="preserve">, as </w:t>
            </w:r>
            <w:r w:rsidR="00882116">
              <w:t xml:space="preserve">this person </w:t>
            </w:r>
            <w:r w:rsidR="00D830A8">
              <w:t xml:space="preserve">will </w:t>
            </w:r>
            <w:r w:rsidR="00882116">
              <w:t xml:space="preserve">not only field questions but </w:t>
            </w:r>
            <w:r w:rsidR="00D830A8">
              <w:t xml:space="preserve">also </w:t>
            </w:r>
            <w:r w:rsidR="00882116">
              <w:t xml:space="preserve">proactively educate and develop relationships with prospective and current </w:t>
            </w:r>
            <w:r w:rsidR="00882116" w:rsidRPr="00403D63">
              <w:t xml:space="preserve">employer partners. </w:t>
            </w:r>
          </w:p>
          <w:p w14:paraId="126EBE22" w14:textId="77777777" w:rsidR="00744A88" w:rsidRDefault="00744A88" w:rsidP="00353498"/>
          <w:p w14:paraId="2D8DC794" w14:textId="77777777" w:rsidR="00744A88" w:rsidRDefault="00744A88" w:rsidP="00353498">
            <w:pPr>
              <w:rPr>
                <w:b/>
              </w:rPr>
            </w:pPr>
            <w:r>
              <w:rPr>
                <w:b/>
              </w:rPr>
              <w:t>Offering Externships for Classroom Educators</w:t>
            </w:r>
          </w:p>
          <w:p w14:paraId="332E4DE3" w14:textId="77777777" w:rsidR="00744A88" w:rsidRPr="006C64C9" w:rsidRDefault="00744A88" w:rsidP="00353498">
            <w:pPr>
              <w:rPr>
                <w:highlight w:val="yellow"/>
              </w:rPr>
            </w:pPr>
            <w:r>
              <w:t>Work-based learning isn’t just for students. In fact, instructors can also benefit from exposure to the latest industry trends. Some states have partnered with employers to offer a different kind of professional development for CTE and academic instructors in the form of teacher externships.</w:t>
            </w:r>
          </w:p>
          <w:p w14:paraId="7BB5EE97" w14:textId="77777777" w:rsidR="001050FE" w:rsidRPr="00882116" w:rsidRDefault="001050FE" w:rsidP="00353498">
            <w:pPr>
              <w:rPr>
                <w:highlight w:val="yellow"/>
              </w:rPr>
            </w:pPr>
          </w:p>
          <w:p w14:paraId="0D8F1364" w14:textId="44E7929C" w:rsidR="001050FE" w:rsidRPr="00403D63" w:rsidRDefault="001050FE" w:rsidP="00353498">
            <w:pPr>
              <w:rPr>
                <w:b/>
              </w:rPr>
            </w:pPr>
            <w:r w:rsidRPr="00403D63">
              <w:rPr>
                <w:b/>
              </w:rPr>
              <w:t>Scaling Work-based Learning</w:t>
            </w:r>
          </w:p>
          <w:p w14:paraId="30880FBA" w14:textId="3C75FAF7" w:rsidR="009014D7" w:rsidRPr="009014D7" w:rsidRDefault="009014D7" w:rsidP="00353498">
            <w:r w:rsidRPr="00403D63">
              <w:t xml:space="preserve">Achieving scale for work-based learning has always been one of the greatest challenges for any state, and as a result, much of this responsibility historically has been left to local schools and institutions. </w:t>
            </w:r>
            <w:r w:rsidR="00403D63">
              <w:t xml:space="preserve">However, with a statewide vision, a solid policy and legal infrastructure, and a network of intermediaries, you can set your state up for achieving meaningful, sustained work-based learning at scale. </w:t>
            </w:r>
          </w:p>
          <w:p w14:paraId="115E0C66" w14:textId="369D6263" w:rsidR="00D132A3" w:rsidRPr="00164447" w:rsidRDefault="00D132A3" w:rsidP="00353498"/>
        </w:tc>
      </w:tr>
      <w:tr w:rsidR="00D132A3" w14:paraId="3B87B4B6" w14:textId="77777777" w:rsidTr="00614685">
        <w:trPr>
          <w:trHeight w:val="609"/>
        </w:trPr>
        <w:tc>
          <w:tcPr>
            <w:tcW w:w="1710" w:type="dxa"/>
            <w:shd w:val="clear" w:color="auto" w:fill="D5FCFF"/>
            <w:tcMar>
              <w:top w:w="72" w:type="dxa"/>
              <w:left w:w="115" w:type="dxa"/>
              <w:right w:w="115" w:type="dxa"/>
            </w:tcMar>
          </w:tcPr>
          <w:p w14:paraId="24DC833F" w14:textId="1A1C622F" w:rsidR="00D132A3" w:rsidRPr="006169A9" w:rsidRDefault="00D132A3" w:rsidP="00353498">
            <w:pPr>
              <w:rPr>
                <w:b/>
              </w:rPr>
            </w:pPr>
            <w:r>
              <w:rPr>
                <w:b/>
              </w:rPr>
              <w:lastRenderedPageBreak/>
              <w:t xml:space="preserve">State Examples </w:t>
            </w:r>
          </w:p>
        </w:tc>
        <w:tc>
          <w:tcPr>
            <w:tcW w:w="7758" w:type="dxa"/>
            <w:shd w:val="clear" w:color="auto" w:fill="D5FCFF"/>
            <w:tcMar>
              <w:top w:w="72" w:type="dxa"/>
              <w:left w:w="115" w:type="dxa"/>
              <w:right w:w="115" w:type="dxa"/>
            </w:tcMar>
          </w:tcPr>
          <w:p w14:paraId="0D157FCC" w14:textId="6BC00547" w:rsidR="00164447" w:rsidRDefault="00FF67CA" w:rsidP="00FF67CA">
            <w:pPr>
              <w:spacing w:after="160"/>
            </w:pPr>
            <w:r w:rsidRPr="00FF67CA">
              <w:rPr>
                <w:b/>
              </w:rPr>
              <w:t>West Virginia</w:t>
            </w:r>
            <w:r>
              <w:t xml:space="preserve">’s innovative </w:t>
            </w:r>
            <w:hyperlink r:id="rId43" w:history="1">
              <w:r w:rsidRPr="00FF67CA">
                <w:rPr>
                  <w:rStyle w:val="Hyperlink"/>
                </w:rPr>
                <w:t>Simulated Workplace</w:t>
              </w:r>
            </w:hyperlink>
            <w:r>
              <w:t xml:space="preserve"> initiative brings the workplace inside the four walls of the classroom</w:t>
            </w:r>
            <w:r w:rsidR="00945DE5">
              <w:t>.</w:t>
            </w:r>
            <w:r w:rsidR="00767E7C">
              <w:t xml:space="preserve"> Students transform their classrooms into businesses to create an authentic workplace environment. One of the more innovate components is the onsite business review, which brings “inspectors” from the business community into the classroom to </w:t>
            </w:r>
            <w:hyperlink r:id="rId44" w:history="1">
              <w:r w:rsidR="00767E7C" w:rsidRPr="00767E7C">
                <w:rPr>
                  <w:rStyle w:val="Hyperlink"/>
                </w:rPr>
                <w:t>evaluate</w:t>
              </w:r>
            </w:hyperlink>
            <w:r w:rsidR="00767E7C">
              <w:t xml:space="preserve"> the programs based on their adherence to industry standards. </w:t>
            </w:r>
            <w:r>
              <w:t xml:space="preserve">The initiative was developed jointly between the state Department of Education and employers, specifically the state’s workforce development board and state Chamber of Commerce, both of which committed funding, time and expertise to </w:t>
            </w:r>
            <w:r w:rsidR="00767E7C">
              <w:t xml:space="preserve">promote and evaluate the program. </w:t>
            </w:r>
          </w:p>
          <w:p w14:paraId="0CD461D8" w14:textId="0CFB575A" w:rsidR="00164447" w:rsidRDefault="00767E7C" w:rsidP="00FF67CA">
            <w:pPr>
              <w:spacing w:after="160"/>
            </w:pPr>
            <w:r>
              <w:t xml:space="preserve">Tech Ready Apprentices for Careers in </w:t>
            </w:r>
            <w:r w:rsidRPr="00767E7C">
              <w:rPr>
                <w:b/>
              </w:rPr>
              <w:t>Kentucky</w:t>
            </w:r>
            <w:r>
              <w:t xml:space="preserve">, also known as TRACK, launched in 2013 and is a notable </w:t>
            </w:r>
            <w:hyperlink r:id="rId45" w:history="1">
              <w:r w:rsidRPr="00767E7C">
                <w:rPr>
                  <w:rStyle w:val="Hyperlink"/>
                </w:rPr>
                <w:t>example</w:t>
              </w:r>
            </w:hyperlink>
            <w:r>
              <w:t xml:space="preserve"> of effective collaboration between the state’s Labor Cabinet and Department of Education</w:t>
            </w:r>
            <w:r w:rsidR="00164447">
              <w:t xml:space="preserve"> </w:t>
            </w:r>
            <w:r>
              <w:t xml:space="preserve">as well as employers, labor and local schools to strengthen students’ career pathways and the talent pipeline. Central to the program’s success is a state-level intermediary, who is employed by the state CTE office and travels the state engaging with employers and connecting them with local schools to partner together to form these youth apprenticeship programs. </w:t>
            </w:r>
          </w:p>
          <w:p w14:paraId="2152CFAB" w14:textId="0BC6BF87" w:rsidR="00767E7C" w:rsidRDefault="00767E7C" w:rsidP="00FF67CA">
            <w:pPr>
              <w:spacing w:after="160"/>
            </w:pPr>
            <w:r>
              <w:t>As a by-product of developing the TRACK program, the state Department of Education realized employers were skittish about liability concerns. To all</w:t>
            </w:r>
            <w:r w:rsidR="00945DE5">
              <w:t>a</w:t>
            </w:r>
            <w:r>
              <w:t xml:space="preserve">y those concerns, the state </w:t>
            </w:r>
            <w:hyperlink r:id="rId46" w:history="1">
              <w:r w:rsidRPr="00722B86">
                <w:rPr>
                  <w:rStyle w:val="Hyperlink"/>
                </w:rPr>
                <w:t>partnered</w:t>
              </w:r>
            </w:hyperlink>
            <w:r>
              <w:t xml:space="preserve"> with</w:t>
            </w:r>
            <w:r w:rsidR="00945DE5">
              <w:t xml:space="preserve"> a</w:t>
            </w:r>
            <w:r>
              <w:t xml:space="preserve"> national staffing agency, Adecco, which </w:t>
            </w:r>
            <w:r w:rsidR="00722B86">
              <w:t>assumes the liability for the high school-age employees as well as the back-end human resources needs, thus alleviating two burdens for employers.</w:t>
            </w:r>
          </w:p>
          <w:p w14:paraId="4ABA5FCE" w14:textId="56DA5D54" w:rsidR="00164447" w:rsidRDefault="00722B86" w:rsidP="00FF67CA">
            <w:pPr>
              <w:spacing w:after="160"/>
            </w:pPr>
            <w:r w:rsidRPr="00A00144">
              <w:rPr>
                <w:b/>
              </w:rPr>
              <w:t>South Carolina</w:t>
            </w:r>
            <w:r>
              <w:t xml:space="preserve">’s successful </w:t>
            </w:r>
            <w:hyperlink r:id="rId47" w:history="1">
              <w:r w:rsidRPr="00722B86">
                <w:rPr>
                  <w:rStyle w:val="Hyperlink"/>
                </w:rPr>
                <w:t>Apprenticeship Carolina</w:t>
              </w:r>
            </w:hyperlink>
            <w:r>
              <w:t xml:space="preserve"> program includes both youth and adult apprenticeships across the state. To encourage employers to take on apprentices, the state offers a </w:t>
            </w:r>
            <w:hyperlink r:id="rId48" w:history="1">
              <w:r w:rsidRPr="00722B86">
                <w:rPr>
                  <w:rStyle w:val="Hyperlink"/>
                </w:rPr>
                <w:t>$1,000 tax credit</w:t>
              </w:r>
            </w:hyperlink>
            <w:r>
              <w:t xml:space="preserve"> for companies for each apprentice they hire each year, irrespective of whether the individual is a youth or </w:t>
            </w:r>
            <w:r>
              <w:lastRenderedPageBreak/>
              <w:t xml:space="preserve">an adult. Altogether, the state provides approximately $1 million annually in support of Apprenticeship Carolina and the employer tax credit. </w:t>
            </w:r>
          </w:p>
          <w:p w14:paraId="5F3A95C2" w14:textId="0972BBA1" w:rsidR="003C12D2" w:rsidRDefault="00722B86" w:rsidP="00FF67CA">
            <w:pPr>
              <w:spacing w:after="160"/>
            </w:pPr>
            <w:r>
              <w:t xml:space="preserve">In 2016, the </w:t>
            </w:r>
            <w:r w:rsidRPr="003C12D2">
              <w:rPr>
                <w:b/>
              </w:rPr>
              <w:t>Geo</w:t>
            </w:r>
            <w:r w:rsidR="003C12D2" w:rsidRPr="003C12D2">
              <w:rPr>
                <w:b/>
              </w:rPr>
              <w:t>r</w:t>
            </w:r>
            <w:r w:rsidRPr="003C12D2">
              <w:rPr>
                <w:b/>
              </w:rPr>
              <w:t>gia</w:t>
            </w:r>
            <w:r>
              <w:t xml:space="preserve"> legislature </w:t>
            </w:r>
            <w:r w:rsidR="003C12D2">
              <w:t xml:space="preserve">passed </w:t>
            </w:r>
            <w:hyperlink r:id="rId49" w:history="1">
              <w:r w:rsidR="003C12D2" w:rsidRPr="003C12D2">
                <w:rPr>
                  <w:rStyle w:val="Hyperlink"/>
                </w:rPr>
                <w:t>HB 402</w:t>
              </w:r>
            </w:hyperlink>
            <w:r w:rsidR="003C12D2">
              <w:t xml:space="preserve">, which clarified state laws and helped give companies the comfort they needed to provide work-based learning and youth apprenticeship opportunities for students as young as 16. Moreover, the law created a financial incentive for employers to earn certification from the state Department of Education as a Work-based Learning Employer to qualify for discounts of up to 5 percent off their worker’s compensation insurance. </w:t>
            </w:r>
          </w:p>
          <w:p w14:paraId="3AA3DDFB" w14:textId="6D3FFC9D" w:rsidR="00D132A3" w:rsidRDefault="00E227D4" w:rsidP="00E227D4">
            <w:pPr>
              <w:spacing w:after="160"/>
            </w:pPr>
            <w:r>
              <w:t>Since 2013</w:t>
            </w:r>
            <w:r w:rsidR="003C12D2">
              <w:t xml:space="preserve">, </w:t>
            </w:r>
            <w:r w:rsidR="003C12D2" w:rsidRPr="00E227D4">
              <w:rPr>
                <w:b/>
              </w:rPr>
              <w:t>Tennessee</w:t>
            </w:r>
            <w:r>
              <w:t xml:space="preserve"> has</w:t>
            </w:r>
            <w:r w:rsidR="003C12D2">
              <w:t xml:space="preserve"> offered </w:t>
            </w:r>
            <w:hyperlink r:id="rId50" w:history="1">
              <w:r w:rsidR="003C12D2" w:rsidRPr="00E227D4">
                <w:rPr>
                  <w:rStyle w:val="Hyperlink"/>
                </w:rPr>
                <w:t>externships</w:t>
              </w:r>
            </w:hyperlink>
            <w:r w:rsidR="003C12D2">
              <w:t xml:space="preserve"> to teams of CTE and general </w:t>
            </w:r>
            <w:r>
              <w:t xml:space="preserve">education teachers, administrators and counselors. The weeklong externship gave teachers a behind-the-scenes look at major employers in key, in-demand industries. </w:t>
            </w:r>
            <w:r w:rsidR="00FF67CA">
              <w:t xml:space="preserve"> </w:t>
            </w:r>
          </w:p>
        </w:tc>
      </w:tr>
    </w:tbl>
    <w:p w14:paraId="602C6B61" w14:textId="77777777" w:rsidR="00D132A3" w:rsidRDefault="00D132A3" w:rsidP="00353498"/>
    <w:p w14:paraId="6220FACA" w14:textId="77777777" w:rsidR="00603B6D" w:rsidRDefault="00603B6D">
      <w:pPr>
        <w:spacing w:after="160" w:line="259" w:lineRule="auto"/>
        <w:rPr>
          <w:rFonts w:eastAsiaTheme="majorEastAsia" w:cstheme="majorBidi"/>
          <w:b/>
          <w:i/>
          <w:sz w:val="24"/>
          <w:szCs w:val="24"/>
        </w:rPr>
      </w:pPr>
      <w:r>
        <w:rPr>
          <w:b/>
        </w:rPr>
        <w:br w:type="page"/>
      </w:r>
    </w:p>
    <w:p w14:paraId="00C79961" w14:textId="4576301F" w:rsidR="00B447D6" w:rsidRPr="002A6387" w:rsidRDefault="00B447D6" w:rsidP="00353498">
      <w:pPr>
        <w:pStyle w:val="Heading3"/>
        <w:rPr>
          <w:b/>
        </w:rPr>
      </w:pPr>
      <w:bookmarkStart w:id="22" w:name="_Toc511597554"/>
      <w:r w:rsidRPr="002A6387">
        <w:rPr>
          <w:b/>
        </w:rPr>
        <w:lastRenderedPageBreak/>
        <w:t xml:space="preserve">Key Questions:  </w:t>
      </w:r>
      <w:r>
        <w:rPr>
          <w:b/>
        </w:rPr>
        <w:t>Work-based Learning</w:t>
      </w:r>
      <w:bookmarkEnd w:id="22"/>
    </w:p>
    <w:p w14:paraId="0453CF2C" w14:textId="77777777" w:rsidR="00B447D6" w:rsidRPr="00645B9D" w:rsidRDefault="00B447D6" w:rsidP="00353498">
      <w:r>
        <w:t xml:space="preserve">Answer the questions below in the space provided. While these questions are all optional, we encourage you to capture your thoughts here so that you can easily refer back to them. </w:t>
      </w:r>
    </w:p>
    <w:tbl>
      <w:tblPr>
        <w:tblStyle w:val="TableGrid"/>
        <w:tblpPr w:leftFromText="180" w:rightFromText="180" w:vertAnchor="text" w:horzAnchor="page" w:tblpX="1038" w:tblpY="170"/>
        <w:tblW w:w="10255" w:type="dxa"/>
        <w:tblLook w:val="04A0" w:firstRow="1" w:lastRow="0" w:firstColumn="1" w:lastColumn="0" w:noHBand="0" w:noVBand="1"/>
      </w:tblPr>
      <w:tblGrid>
        <w:gridCol w:w="1751"/>
        <w:gridCol w:w="3477"/>
        <w:gridCol w:w="5027"/>
      </w:tblGrid>
      <w:tr w:rsidR="00B447D6" w:rsidRPr="006169A9" w14:paraId="537A192E" w14:textId="77777777" w:rsidTr="009A01C7">
        <w:trPr>
          <w:trHeight w:val="170"/>
          <w:tblHeader/>
        </w:trPr>
        <w:tc>
          <w:tcPr>
            <w:tcW w:w="1751" w:type="dxa"/>
            <w:shd w:val="clear" w:color="auto" w:fill="F2F2F2" w:themeFill="background1" w:themeFillShade="F2"/>
            <w:tcMar>
              <w:top w:w="72" w:type="dxa"/>
              <w:left w:w="115" w:type="dxa"/>
              <w:right w:w="115" w:type="dxa"/>
            </w:tcMar>
            <w:vAlign w:val="center"/>
          </w:tcPr>
          <w:p w14:paraId="1E3F6F8E" w14:textId="77777777" w:rsidR="00B447D6" w:rsidRPr="006169A9" w:rsidRDefault="00B447D6" w:rsidP="00353498">
            <w:pPr>
              <w:pStyle w:val="Heading4"/>
              <w:outlineLvl w:val="3"/>
            </w:pPr>
            <w:r>
              <w:br w:type="page"/>
            </w:r>
          </w:p>
        </w:tc>
        <w:tc>
          <w:tcPr>
            <w:tcW w:w="3477" w:type="dxa"/>
            <w:shd w:val="clear" w:color="auto" w:fill="F2F2F2" w:themeFill="background1" w:themeFillShade="F2"/>
            <w:tcMar>
              <w:top w:w="72" w:type="dxa"/>
              <w:left w:w="115" w:type="dxa"/>
              <w:right w:w="115" w:type="dxa"/>
            </w:tcMar>
          </w:tcPr>
          <w:p w14:paraId="02A74BC7" w14:textId="77777777" w:rsidR="00B447D6" w:rsidRPr="006169A9" w:rsidRDefault="00B447D6" w:rsidP="00353498">
            <w:pPr>
              <w:jc w:val="center"/>
              <w:rPr>
                <w:b/>
                <w:i/>
                <w:sz w:val="24"/>
              </w:rPr>
            </w:pPr>
            <w:r>
              <w:rPr>
                <w:b/>
                <w:i/>
                <w:sz w:val="24"/>
              </w:rPr>
              <w:t>Key Questions</w:t>
            </w:r>
          </w:p>
        </w:tc>
        <w:tc>
          <w:tcPr>
            <w:tcW w:w="5027" w:type="dxa"/>
            <w:shd w:val="clear" w:color="auto" w:fill="F2F2F2" w:themeFill="background1" w:themeFillShade="F2"/>
            <w:tcMar>
              <w:top w:w="72" w:type="dxa"/>
              <w:left w:w="115" w:type="dxa"/>
              <w:right w:w="115" w:type="dxa"/>
            </w:tcMar>
          </w:tcPr>
          <w:p w14:paraId="6712B36C" w14:textId="77777777" w:rsidR="00B447D6" w:rsidRDefault="00B447D6" w:rsidP="00353498">
            <w:pPr>
              <w:jc w:val="center"/>
            </w:pPr>
            <w:r w:rsidRPr="00EE58A1">
              <w:rPr>
                <w:b/>
                <w:i/>
                <w:sz w:val="24"/>
              </w:rPr>
              <w:t>State Response</w:t>
            </w:r>
          </w:p>
        </w:tc>
      </w:tr>
      <w:tr w:rsidR="006B53D9" w14:paraId="0F8750B2" w14:textId="77777777" w:rsidTr="009A01C7">
        <w:trPr>
          <w:trHeight w:val="763"/>
          <w:tblHeader/>
        </w:trPr>
        <w:tc>
          <w:tcPr>
            <w:tcW w:w="1751" w:type="dxa"/>
            <w:vMerge w:val="restart"/>
            <w:tcMar>
              <w:top w:w="72" w:type="dxa"/>
              <w:left w:w="115" w:type="dxa"/>
              <w:right w:w="115" w:type="dxa"/>
            </w:tcMar>
            <w:vAlign w:val="center"/>
          </w:tcPr>
          <w:p w14:paraId="0E24D1D4" w14:textId="47E72B82" w:rsidR="006B53D9" w:rsidRDefault="006B53D9" w:rsidP="00353498">
            <w:r>
              <w:rPr>
                <w:b/>
                <w:i/>
                <w:sz w:val="24"/>
              </w:rPr>
              <w:t>Work-based Learning</w:t>
            </w:r>
          </w:p>
        </w:tc>
        <w:tc>
          <w:tcPr>
            <w:tcW w:w="3477" w:type="dxa"/>
            <w:tcMar>
              <w:top w:w="72" w:type="dxa"/>
              <w:left w:w="115" w:type="dxa"/>
              <w:right w:w="115" w:type="dxa"/>
            </w:tcMar>
          </w:tcPr>
          <w:p w14:paraId="27651E04" w14:textId="035A3F77" w:rsidR="006B53D9" w:rsidRPr="009E503C" w:rsidRDefault="006B53D9" w:rsidP="009E503C">
            <w:pPr>
              <w:widowControl w:val="0"/>
              <w:tabs>
                <w:tab w:val="left" w:pos="720"/>
              </w:tabs>
              <w:autoSpaceDE w:val="0"/>
              <w:autoSpaceDN w:val="0"/>
              <w:adjustRightInd w:val="0"/>
              <w:rPr>
                <w:rFonts w:cs="Arial"/>
                <w:color w:val="000000" w:themeColor="text1"/>
              </w:rPr>
            </w:pPr>
            <w:r w:rsidRPr="009E503C">
              <w:rPr>
                <w:rFonts w:cs="Arial"/>
                <w:color w:val="000000" w:themeColor="text1"/>
              </w:rPr>
              <w:t>What state policies currently support or incentivize employer involvement work-based learning in your state? How effective are these policies, individually and collectively?</w:t>
            </w:r>
          </w:p>
          <w:p w14:paraId="35927CDF" w14:textId="77777777" w:rsidR="006B53D9" w:rsidRDefault="006B53D9" w:rsidP="00353498">
            <w:pPr>
              <w:spacing w:after="120"/>
            </w:pPr>
          </w:p>
        </w:tc>
        <w:tc>
          <w:tcPr>
            <w:tcW w:w="5027" w:type="dxa"/>
            <w:tcMar>
              <w:top w:w="72" w:type="dxa"/>
              <w:left w:w="115" w:type="dxa"/>
              <w:right w:w="115" w:type="dxa"/>
            </w:tcMar>
          </w:tcPr>
          <w:p w14:paraId="4FCD3C18" w14:textId="77777777" w:rsidR="006B53D9" w:rsidRDefault="006B53D9" w:rsidP="00353498">
            <w:pPr>
              <w:pStyle w:val="Heading4"/>
              <w:outlineLvl w:val="3"/>
            </w:pPr>
          </w:p>
        </w:tc>
      </w:tr>
      <w:tr w:rsidR="006B53D9" w14:paraId="7D5581BD" w14:textId="77777777" w:rsidTr="009A01C7">
        <w:trPr>
          <w:trHeight w:val="1027"/>
          <w:tblHeader/>
        </w:trPr>
        <w:tc>
          <w:tcPr>
            <w:tcW w:w="1751" w:type="dxa"/>
            <w:vMerge/>
            <w:tcMar>
              <w:top w:w="72" w:type="dxa"/>
              <w:left w:w="115" w:type="dxa"/>
              <w:right w:w="115" w:type="dxa"/>
            </w:tcMar>
          </w:tcPr>
          <w:p w14:paraId="552F6653" w14:textId="77777777" w:rsidR="006B53D9" w:rsidRPr="006169A9" w:rsidRDefault="006B53D9" w:rsidP="00353498">
            <w:pPr>
              <w:pStyle w:val="Heading4"/>
              <w:outlineLvl w:val="3"/>
            </w:pPr>
          </w:p>
        </w:tc>
        <w:tc>
          <w:tcPr>
            <w:tcW w:w="3477" w:type="dxa"/>
            <w:tcMar>
              <w:top w:w="72" w:type="dxa"/>
              <w:left w:w="115" w:type="dxa"/>
              <w:right w:w="115" w:type="dxa"/>
            </w:tcMar>
          </w:tcPr>
          <w:p w14:paraId="3EFC2560" w14:textId="3F665BEF" w:rsidR="006B53D9" w:rsidRDefault="006B53D9" w:rsidP="00FF67CA">
            <w:r>
              <w:t xml:space="preserve">Are intermediaries – individuals or organizations – already in use at the secondary level in your state? If so, how and in what ways? What state-level structures and processes can be put in place to support intermediaries (e.g., state staff, professional development, certification requirements, etc.)? </w:t>
            </w:r>
          </w:p>
          <w:p w14:paraId="167557B2" w14:textId="77777777" w:rsidR="006B53D9" w:rsidRPr="00C61F41" w:rsidRDefault="006B53D9" w:rsidP="00353498">
            <w:pPr>
              <w:spacing w:after="120"/>
            </w:pPr>
          </w:p>
        </w:tc>
        <w:tc>
          <w:tcPr>
            <w:tcW w:w="5027" w:type="dxa"/>
            <w:tcMar>
              <w:top w:w="72" w:type="dxa"/>
              <w:left w:w="115" w:type="dxa"/>
              <w:right w:w="115" w:type="dxa"/>
            </w:tcMar>
          </w:tcPr>
          <w:p w14:paraId="2EB1FD77" w14:textId="77777777" w:rsidR="006B53D9" w:rsidRDefault="006B53D9" w:rsidP="00353498">
            <w:pPr>
              <w:pStyle w:val="Heading4"/>
              <w:outlineLvl w:val="3"/>
            </w:pPr>
          </w:p>
        </w:tc>
      </w:tr>
      <w:tr w:rsidR="006B53D9" w14:paraId="6769FF6E" w14:textId="77777777" w:rsidTr="009A01C7">
        <w:trPr>
          <w:trHeight w:val="1027"/>
          <w:tblHeader/>
        </w:trPr>
        <w:tc>
          <w:tcPr>
            <w:tcW w:w="1751" w:type="dxa"/>
            <w:vMerge/>
            <w:tcMar>
              <w:top w:w="72" w:type="dxa"/>
              <w:left w:w="115" w:type="dxa"/>
              <w:right w:w="115" w:type="dxa"/>
            </w:tcMar>
          </w:tcPr>
          <w:p w14:paraId="545F22C0" w14:textId="77777777" w:rsidR="006B53D9" w:rsidRPr="006169A9" w:rsidRDefault="006B53D9" w:rsidP="00353498">
            <w:pPr>
              <w:pStyle w:val="Heading4"/>
              <w:outlineLvl w:val="3"/>
            </w:pPr>
          </w:p>
        </w:tc>
        <w:tc>
          <w:tcPr>
            <w:tcW w:w="3477" w:type="dxa"/>
            <w:tcMar>
              <w:top w:w="72" w:type="dxa"/>
              <w:left w:w="115" w:type="dxa"/>
              <w:right w:w="115" w:type="dxa"/>
            </w:tcMar>
          </w:tcPr>
          <w:p w14:paraId="3E4DFE9D" w14:textId="77777777" w:rsidR="006B53D9" w:rsidRDefault="006B53D9" w:rsidP="009E503C">
            <w:r>
              <w:t>What federal and state laws, regulations and/or guidance impact K-12 work-based learning (e.g., age requirements, nature of the work, hours worked, and compensation received)?</w:t>
            </w:r>
          </w:p>
          <w:p w14:paraId="16BD6742" w14:textId="77777777" w:rsidR="006B53D9" w:rsidRDefault="006B53D9" w:rsidP="009E503C"/>
          <w:p w14:paraId="512DB436" w14:textId="77777777" w:rsidR="006B53D9" w:rsidRDefault="006B53D9" w:rsidP="009E503C">
            <w:r>
              <w:t>What solutions can be found working within existing laws and regulations? Are there loopholes that can be used?</w:t>
            </w:r>
          </w:p>
          <w:p w14:paraId="60C4F996" w14:textId="73230386" w:rsidR="006B53D9" w:rsidRPr="009E503C" w:rsidRDefault="006B53D9" w:rsidP="006B53D9"/>
        </w:tc>
        <w:tc>
          <w:tcPr>
            <w:tcW w:w="5027" w:type="dxa"/>
            <w:tcMar>
              <w:top w:w="72" w:type="dxa"/>
              <w:left w:w="115" w:type="dxa"/>
              <w:right w:w="115" w:type="dxa"/>
            </w:tcMar>
          </w:tcPr>
          <w:p w14:paraId="7FA7E786" w14:textId="77777777" w:rsidR="006B53D9" w:rsidRDefault="006B53D9" w:rsidP="00353498">
            <w:pPr>
              <w:pStyle w:val="Heading4"/>
              <w:outlineLvl w:val="3"/>
            </w:pPr>
          </w:p>
        </w:tc>
      </w:tr>
      <w:tr w:rsidR="006B53D9" w14:paraId="2C996832" w14:textId="77777777" w:rsidTr="009A01C7">
        <w:trPr>
          <w:trHeight w:val="1027"/>
          <w:tblHeader/>
        </w:trPr>
        <w:tc>
          <w:tcPr>
            <w:tcW w:w="1751" w:type="dxa"/>
            <w:vMerge/>
            <w:tcMar>
              <w:top w:w="72" w:type="dxa"/>
              <w:left w:w="115" w:type="dxa"/>
              <w:right w:w="115" w:type="dxa"/>
            </w:tcMar>
          </w:tcPr>
          <w:p w14:paraId="6879139F" w14:textId="77777777" w:rsidR="006B53D9" w:rsidRPr="006169A9" w:rsidRDefault="006B53D9" w:rsidP="00353498">
            <w:pPr>
              <w:pStyle w:val="Heading4"/>
              <w:outlineLvl w:val="3"/>
            </w:pPr>
          </w:p>
        </w:tc>
        <w:tc>
          <w:tcPr>
            <w:tcW w:w="3477" w:type="dxa"/>
            <w:tcMar>
              <w:top w:w="72" w:type="dxa"/>
              <w:left w:w="115" w:type="dxa"/>
              <w:right w:w="115" w:type="dxa"/>
            </w:tcMar>
          </w:tcPr>
          <w:p w14:paraId="25A8D1B1" w14:textId="77777777" w:rsidR="006B53D9" w:rsidRDefault="006B53D9" w:rsidP="006B53D9">
            <w:r>
              <w:t>What legislative and/or regulatory changes need to be made to create an environment that supports work-based learning?</w:t>
            </w:r>
          </w:p>
          <w:p w14:paraId="07F2B3D9" w14:textId="4C49375D" w:rsidR="006B53D9" w:rsidRPr="00C61F41" w:rsidRDefault="006B53D9" w:rsidP="00266E28">
            <w:pPr>
              <w:spacing w:after="120"/>
            </w:pPr>
          </w:p>
        </w:tc>
        <w:tc>
          <w:tcPr>
            <w:tcW w:w="5027" w:type="dxa"/>
            <w:tcMar>
              <w:top w:w="72" w:type="dxa"/>
              <w:left w:w="115" w:type="dxa"/>
              <w:right w:w="115" w:type="dxa"/>
            </w:tcMar>
          </w:tcPr>
          <w:p w14:paraId="04EA53B1" w14:textId="77777777" w:rsidR="006B53D9" w:rsidRDefault="006B53D9" w:rsidP="00353498">
            <w:pPr>
              <w:pStyle w:val="Heading4"/>
              <w:outlineLvl w:val="3"/>
            </w:pPr>
          </w:p>
        </w:tc>
      </w:tr>
      <w:tr w:rsidR="006B53D9" w14:paraId="1A81B210" w14:textId="77777777" w:rsidTr="009A01C7">
        <w:trPr>
          <w:trHeight w:val="1027"/>
          <w:tblHeader/>
        </w:trPr>
        <w:tc>
          <w:tcPr>
            <w:tcW w:w="1751" w:type="dxa"/>
            <w:vMerge/>
            <w:tcMar>
              <w:top w:w="72" w:type="dxa"/>
              <w:left w:w="115" w:type="dxa"/>
              <w:right w:w="115" w:type="dxa"/>
            </w:tcMar>
          </w:tcPr>
          <w:p w14:paraId="636B0E3A" w14:textId="77777777" w:rsidR="006B53D9" w:rsidRPr="006169A9" w:rsidRDefault="006B53D9" w:rsidP="00353498">
            <w:pPr>
              <w:pStyle w:val="Heading4"/>
              <w:outlineLvl w:val="3"/>
            </w:pPr>
          </w:p>
        </w:tc>
        <w:tc>
          <w:tcPr>
            <w:tcW w:w="3477" w:type="dxa"/>
            <w:tcMar>
              <w:top w:w="72" w:type="dxa"/>
              <w:left w:w="115" w:type="dxa"/>
              <w:right w:w="115" w:type="dxa"/>
            </w:tcMar>
          </w:tcPr>
          <w:p w14:paraId="1D0DB49E" w14:textId="2FDDC214" w:rsidR="006B53D9" w:rsidRDefault="006B53D9" w:rsidP="00266E28">
            <w:pPr>
              <w:spacing w:after="120"/>
            </w:pPr>
            <w:r>
              <w:t>What support do employers receive when providing work-based learning? Training? Learning plan? Point of contact at state and/or local level?</w:t>
            </w:r>
          </w:p>
        </w:tc>
        <w:tc>
          <w:tcPr>
            <w:tcW w:w="5027" w:type="dxa"/>
            <w:tcMar>
              <w:top w:w="72" w:type="dxa"/>
              <w:left w:w="115" w:type="dxa"/>
              <w:right w:w="115" w:type="dxa"/>
            </w:tcMar>
          </w:tcPr>
          <w:p w14:paraId="31D6DA4E" w14:textId="77777777" w:rsidR="006B53D9" w:rsidRDefault="006B53D9" w:rsidP="00353498">
            <w:pPr>
              <w:pStyle w:val="Heading4"/>
              <w:outlineLvl w:val="3"/>
            </w:pPr>
          </w:p>
        </w:tc>
      </w:tr>
    </w:tbl>
    <w:p w14:paraId="183A90FA" w14:textId="77777777" w:rsidR="00B447D6" w:rsidRDefault="00B447D6" w:rsidP="00353498">
      <w:pPr>
        <w:pStyle w:val="Heading2"/>
        <w:sectPr w:rsidR="00B447D6" w:rsidSect="00D132A3">
          <w:headerReference w:type="default" r:id="rId51"/>
          <w:footerReference w:type="default" r:id="rId52"/>
          <w:type w:val="continuous"/>
          <w:pgSz w:w="12240" w:h="15840"/>
          <w:pgMar w:top="1440" w:right="1440" w:bottom="1440" w:left="1440" w:header="720" w:footer="720" w:gutter="0"/>
          <w:cols w:space="720"/>
          <w:titlePg/>
          <w:docGrid w:linePitch="360"/>
        </w:sectPr>
      </w:pPr>
    </w:p>
    <w:p w14:paraId="19D87B0C" w14:textId="77777777" w:rsidR="00B447D6" w:rsidRDefault="00B447D6" w:rsidP="00353498">
      <w:pPr>
        <w:pStyle w:val="Heading2"/>
        <w:sectPr w:rsidR="00B447D6" w:rsidSect="00D132A3">
          <w:type w:val="continuous"/>
          <w:pgSz w:w="12240" w:h="15840"/>
          <w:pgMar w:top="1440" w:right="1440" w:bottom="1440" w:left="1440" w:header="720" w:footer="720" w:gutter="0"/>
          <w:cols w:space="720"/>
          <w:titlePg/>
          <w:docGrid w:linePitch="360"/>
        </w:sectPr>
      </w:pPr>
    </w:p>
    <w:p w14:paraId="44C84AF3" w14:textId="0792ACE4" w:rsidR="00423B67" w:rsidRDefault="00266E28" w:rsidP="00353498">
      <w:pPr>
        <w:pStyle w:val="Heading2"/>
        <w:rPr>
          <w:lang w:val="en-GB"/>
        </w:rPr>
      </w:pPr>
      <w:r>
        <w:rPr>
          <w:lang w:val="en-GB"/>
        </w:rPr>
        <w:br w:type="column"/>
      </w:r>
      <w:bookmarkStart w:id="23" w:name="_Toc511597555"/>
      <w:r w:rsidR="00423B67">
        <w:rPr>
          <w:lang w:val="en-GB"/>
        </w:rPr>
        <w:lastRenderedPageBreak/>
        <w:t>Section 2: Industry Experts in the Classroom</w:t>
      </w:r>
      <w:bookmarkEnd w:id="23"/>
    </w:p>
    <w:p w14:paraId="1A564092" w14:textId="77777777" w:rsidR="00744A88" w:rsidRDefault="00744A88" w:rsidP="00353498">
      <w:r>
        <w:t>Every year, Advance CTE surveys State Directors to ask about their top three successes and challenges in CTE. For the past four years, recruiting and retaining quality CTE instructors has been one of the top challenges across the state. While some states have found strategies that are beginning to show promise, no one, it seems, has fully cracked this perennial issue.</w:t>
      </w:r>
    </w:p>
    <w:p w14:paraId="79F7F1BC" w14:textId="77777777" w:rsidR="00744A88" w:rsidRDefault="00744A88" w:rsidP="00353498"/>
    <w:p w14:paraId="3801AB30" w14:textId="67AE05DD" w:rsidR="00744A88" w:rsidRPr="00403D63" w:rsidRDefault="00744A88" w:rsidP="00353498">
      <w:pPr>
        <w:rPr>
          <w:b/>
        </w:rPr>
      </w:pPr>
      <w:r>
        <w:t>However, as the interest and desire for CTE continues to increase, the need for qualified experts will only become more critical and states are recognizing that they must think more creatively beyond their traditional</w:t>
      </w:r>
      <w:r w:rsidR="00050D03">
        <w:t xml:space="preserve"> teacher prep</w:t>
      </w:r>
      <w:r w:rsidR="009E503C">
        <w:t xml:space="preserve">aration programs </w:t>
      </w:r>
      <w:r w:rsidR="00050D03">
        <w:t>and</w:t>
      </w:r>
      <w:r>
        <w:t xml:space="preserve"> alternative certification policies. Your employer partners can be a valuable asset in helping to ease some of your CTE teacher pipeline issues.</w:t>
      </w:r>
    </w:p>
    <w:p w14:paraId="37AB2C72" w14:textId="77777777" w:rsidR="00423B67" w:rsidRDefault="00423B67" w:rsidP="00353498"/>
    <w:p w14:paraId="50578284" w14:textId="60EDDF77" w:rsidR="00423B67" w:rsidRDefault="00423B67" w:rsidP="00353498">
      <w:pPr>
        <w:pBdr>
          <w:top w:val="single" w:sz="4" w:space="1" w:color="auto"/>
          <w:left w:val="single" w:sz="4" w:space="4" w:color="auto"/>
          <w:bottom w:val="single" w:sz="4" w:space="0" w:color="auto"/>
          <w:right w:val="single" w:sz="4" w:space="17" w:color="auto"/>
        </w:pBdr>
        <w:ind w:right="-180"/>
        <w:rPr>
          <w:color w:val="009AA6"/>
        </w:rPr>
      </w:pPr>
      <w:r>
        <w:rPr>
          <w:b/>
          <w:i/>
          <w:color w:val="009AA6"/>
        </w:rPr>
        <w:t>Helpful Resource</w:t>
      </w:r>
      <w:r w:rsidRPr="00672DED">
        <w:rPr>
          <w:color w:val="009AA6"/>
        </w:rPr>
        <w:t>:</w:t>
      </w:r>
    </w:p>
    <w:p w14:paraId="31506A35" w14:textId="618C1159" w:rsidR="00423B67" w:rsidRPr="00A00144" w:rsidRDefault="00437D23" w:rsidP="00353498">
      <w:pPr>
        <w:pBdr>
          <w:top w:val="single" w:sz="4" w:space="1" w:color="auto"/>
          <w:left w:val="single" w:sz="4" w:space="4" w:color="auto"/>
          <w:bottom w:val="single" w:sz="4" w:space="0" w:color="auto"/>
          <w:right w:val="single" w:sz="4" w:space="17" w:color="auto"/>
        </w:pBdr>
        <w:ind w:right="-180"/>
        <w:rPr>
          <w:i/>
        </w:rPr>
      </w:pPr>
      <w:hyperlink r:id="rId53" w:history="1">
        <w:r w:rsidR="00423B67" w:rsidRPr="00A00144">
          <w:rPr>
            <w:rStyle w:val="Hyperlink"/>
            <w:i/>
          </w:rPr>
          <w:t>The State of Career Technical Education: Increasing Access to Industry Experts in High Schools</w:t>
        </w:r>
      </w:hyperlink>
    </w:p>
    <w:p w14:paraId="7CD41E51" w14:textId="0958B8F6" w:rsidR="00423B67" w:rsidRDefault="00423B67" w:rsidP="00353498">
      <w:pPr>
        <w:pBdr>
          <w:top w:val="single" w:sz="4" w:space="1" w:color="auto"/>
          <w:left w:val="single" w:sz="4" w:space="4" w:color="auto"/>
          <w:bottom w:val="single" w:sz="4" w:space="0" w:color="auto"/>
          <w:right w:val="single" w:sz="4" w:space="17" w:color="auto"/>
        </w:pBdr>
        <w:ind w:right="-180"/>
      </w:pPr>
      <w:r w:rsidRPr="00423B67">
        <w:t>This report from Advance CTE, in partnership with the Center on Great Teachers and Leaders at AIR, draws on data from two national surveys to examine the shortage of industry experts in secondary classrooms and how to address it.</w:t>
      </w:r>
    </w:p>
    <w:p w14:paraId="2BBC73C9" w14:textId="77777777" w:rsidR="00423B67" w:rsidRDefault="00423B67" w:rsidP="00353498">
      <w:pPr>
        <w:pBdr>
          <w:top w:val="single" w:sz="4" w:space="1" w:color="auto"/>
          <w:left w:val="single" w:sz="4" w:space="4" w:color="auto"/>
          <w:bottom w:val="single" w:sz="4" w:space="0" w:color="auto"/>
          <w:right w:val="single" w:sz="4" w:space="17" w:color="auto"/>
        </w:pBdr>
        <w:ind w:right="-180"/>
      </w:pPr>
    </w:p>
    <w:p w14:paraId="5582721C" w14:textId="0860878C" w:rsidR="00B447D6" w:rsidRDefault="00B447D6" w:rsidP="00353498">
      <w:pPr>
        <w:pBdr>
          <w:top w:val="single" w:sz="4" w:space="1" w:color="auto"/>
          <w:left w:val="single" w:sz="4" w:space="4" w:color="auto"/>
          <w:bottom w:val="single" w:sz="4" w:space="0" w:color="auto"/>
          <w:right w:val="single" w:sz="4" w:space="17" w:color="auto"/>
        </w:pBdr>
        <w:spacing w:after="120"/>
        <w:ind w:right="-180"/>
      </w:pPr>
      <w:r>
        <w:t>For technical assistance using this resource,</w:t>
      </w:r>
      <w:r w:rsidRPr="00672DED">
        <w:t xml:space="preserve"> please email our State Policy Manager Ashleigh McFadden at </w:t>
      </w:r>
      <w:hyperlink r:id="rId54" w:history="1">
        <w:r w:rsidRPr="00672DED">
          <w:rPr>
            <w:rStyle w:val="Hyperlink"/>
          </w:rPr>
          <w:t>amcfadden@careertech.org</w:t>
        </w:r>
      </w:hyperlink>
      <w:r w:rsidRPr="00672DED">
        <w:rPr>
          <w:rStyle w:val="Hyperlink"/>
        </w:rPr>
        <w:t>.</w:t>
      </w:r>
      <w:r w:rsidRPr="00672DED">
        <w:t xml:space="preserve"> Advance CTE is happy to provide virtual and</w:t>
      </w:r>
      <w:r>
        <w:t xml:space="preserve"> in-person technical assistance</w:t>
      </w:r>
      <w:r w:rsidRPr="00672DED">
        <w:t>.</w:t>
      </w:r>
    </w:p>
    <w:p w14:paraId="4AB6688E" w14:textId="77777777" w:rsidR="00423B67" w:rsidRDefault="00423B67" w:rsidP="00353498"/>
    <w:p w14:paraId="084B36A6" w14:textId="14F3F2E3" w:rsidR="00B447D6" w:rsidRPr="00B447D6" w:rsidRDefault="00B447D6" w:rsidP="00353498">
      <w:pPr>
        <w:pStyle w:val="Heading3"/>
        <w:rPr>
          <w:b/>
        </w:rPr>
      </w:pPr>
      <w:bookmarkStart w:id="24" w:name="_Toc511597556"/>
      <w:r>
        <w:rPr>
          <w:b/>
        </w:rPr>
        <w:t>Industry Experts in the Classroom</w:t>
      </w:r>
      <w:bookmarkEnd w:id="24"/>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1710"/>
        <w:gridCol w:w="7758"/>
      </w:tblGrid>
      <w:tr w:rsidR="00744A88" w14:paraId="7ED8690C" w14:textId="77777777" w:rsidTr="00C43B62">
        <w:trPr>
          <w:trHeight w:val="49"/>
        </w:trPr>
        <w:tc>
          <w:tcPr>
            <w:tcW w:w="1710" w:type="dxa"/>
            <w:shd w:val="clear" w:color="auto" w:fill="F2F2F2" w:themeFill="background1" w:themeFillShade="F2"/>
            <w:tcMar>
              <w:top w:w="72" w:type="dxa"/>
              <w:left w:w="115" w:type="dxa"/>
              <w:right w:w="115" w:type="dxa"/>
            </w:tcMar>
          </w:tcPr>
          <w:p w14:paraId="25F7A1E7" w14:textId="77777777" w:rsidR="00744A88" w:rsidRPr="006169A9" w:rsidRDefault="00744A88" w:rsidP="00353498">
            <w:pPr>
              <w:rPr>
                <w:b/>
              </w:rPr>
            </w:pPr>
            <w:r>
              <w:rPr>
                <w:b/>
              </w:rPr>
              <w:t>Options &amp; Opportunities</w:t>
            </w:r>
          </w:p>
        </w:tc>
        <w:tc>
          <w:tcPr>
            <w:tcW w:w="7758" w:type="dxa"/>
            <w:shd w:val="clear" w:color="auto" w:fill="F2F2F2" w:themeFill="background1" w:themeFillShade="F2"/>
            <w:tcMar>
              <w:top w:w="72" w:type="dxa"/>
              <w:left w:w="115" w:type="dxa"/>
              <w:right w:w="115" w:type="dxa"/>
            </w:tcMar>
          </w:tcPr>
          <w:p w14:paraId="280ADC7B" w14:textId="08326A00" w:rsidR="00744A88" w:rsidRDefault="00744A88" w:rsidP="00353498">
            <w:r>
              <w:t>In Advance CTE’s 201</w:t>
            </w:r>
            <w:r w:rsidR="00415234">
              <w:t>6</w:t>
            </w:r>
            <w:r>
              <w:t xml:space="preserve"> report on bringing industry experts into the </w:t>
            </w:r>
            <w:r w:rsidR="009E503C">
              <w:t xml:space="preserve">K-12 </w:t>
            </w:r>
            <w:r>
              <w:t>classroom, 98 percent of State Directors named this as a key priority for their state systems</w:t>
            </w:r>
            <w:r w:rsidR="00050D03">
              <w:t>, both to shore up the teacher pipeline but also</w:t>
            </w:r>
            <w:r w:rsidR="00415234">
              <w:t xml:space="preserve"> to</w:t>
            </w:r>
            <w:r w:rsidR="00050D03">
              <w:t xml:space="preserve"> ensure all learners are exposed to individuals with industry expertise. </w:t>
            </w:r>
            <w:r w:rsidR="009E503C">
              <w:t xml:space="preserve">Note: This section focuses on this issue through the K-12 lens. </w:t>
            </w:r>
            <w:r w:rsidR="00F5354E">
              <w:t xml:space="preserve">Though the postsecondary level faces similar challenges, they have the ability to alleviate some of the pressure using the flexibility of adjunct faculty. </w:t>
            </w:r>
          </w:p>
          <w:p w14:paraId="43B9320D" w14:textId="77777777" w:rsidR="00744A88" w:rsidRDefault="00744A88" w:rsidP="00353498"/>
          <w:p w14:paraId="32C1EE9F" w14:textId="77777777" w:rsidR="00744A88" w:rsidRDefault="00744A88" w:rsidP="00353498">
            <w:pPr>
              <w:rPr>
                <w:i/>
              </w:rPr>
            </w:pPr>
            <w:r>
              <w:rPr>
                <w:i/>
              </w:rPr>
              <w:t>Key Definition:</w:t>
            </w:r>
          </w:p>
          <w:p w14:paraId="54EC11B1" w14:textId="77777777" w:rsidR="00744A88" w:rsidRPr="000E37BC" w:rsidRDefault="00744A88" w:rsidP="00353498">
            <w:pPr>
              <w:rPr>
                <w:i/>
              </w:rPr>
            </w:pPr>
            <w:r>
              <w:rPr>
                <w:i/>
              </w:rPr>
              <w:t>Advance CTE defines industry experts as individuals with substantial industry knowledge and experience who possess the knowledge, skills and abilities to effectively support students and educators.</w:t>
            </w:r>
          </w:p>
          <w:p w14:paraId="7F6F9B86" w14:textId="77777777" w:rsidR="00744A88" w:rsidRDefault="00744A88" w:rsidP="00353498"/>
          <w:p w14:paraId="76495D4B" w14:textId="5AB09A43" w:rsidR="00744A88" w:rsidRDefault="00744A88" w:rsidP="00353498">
            <w:r>
              <w:t xml:space="preserve">There are a number of barriers to bringing industry experts into the classroom, including geography, low industry awareness and lack of funding for increased teacher salaries, to name a few. However, with a deliberate, coordinated strategy, state leaders can begin to overcome these barriers. </w:t>
            </w:r>
          </w:p>
          <w:p w14:paraId="778D040C" w14:textId="77777777" w:rsidR="00744A88" w:rsidRDefault="00744A88" w:rsidP="00353498"/>
          <w:p w14:paraId="77E13FA9" w14:textId="77777777" w:rsidR="00744A88" w:rsidRPr="009E503C" w:rsidRDefault="00744A88" w:rsidP="00353498">
            <w:pPr>
              <w:rPr>
                <w:b/>
              </w:rPr>
            </w:pPr>
            <w:r w:rsidRPr="009E503C">
              <w:rPr>
                <w:b/>
              </w:rPr>
              <w:t>Expanding teacher certification policies</w:t>
            </w:r>
          </w:p>
          <w:p w14:paraId="1754279D" w14:textId="11192F8F" w:rsidR="00744A88" w:rsidRPr="009E503C" w:rsidRDefault="00050D03" w:rsidP="009E503C">
            <w:r w:rsidRPr="009E503C">
              <w:t xml:space="preserve">The majority of states have alternative certification policies in place, which are intended to provide a faster track into the classroom than traditional </w:t>
            </w:r>
            <w:r w:rsidR="00415234">
              <w:t xml:space="preserve">teacher preparation </w:t>
            </w:r>
            <w:r w:rsidRPr="009E503C">
              <w:t xml:space="preserve">programs offered at colleges of education.  </w:t>
            </w:r>
            <w:r w:rsidRPr="00050D03">
              <w:t>In recent years, states have begun to e</w:t>
            </w:r>
            <w:r w:rsidR="00744A88" w:rsidRPr="009E503C">
              <w:t>xpand certification policies to facilitate part-time and co-teaching licenses in addition to full-time alternative certification</w:t>
            </w:r>
            <w:r w:rsidRPr="009E503C">
              <w:t xml:space="preserve">, which can provide an easier on-ramp into the classroom for those coming from industry – or provide an </w:t>
            </w:r>
            <w:r w:rsidRPr="009E503C">
              <w:lastRenderedPageBreak/>
              <w:t xml:space="preserve">option for industry experts who want to stay in their current career but add capacity to existing CTE classrooms. </w:t>
            </w:r>
            <w:r w:rsidR="0066625B">
              <w:t xml:space="preserve"> </w:t>
            </w:r>
          </w:p>
          <w:p w14:paraId="12807732" w14:textId="77777777" w:rsidR="00744A88" w:rsidRPr="0023689C" w:rsidRDefault="00744A88" w:rsidP="00353498">
            <w:pPr>
              <w:rPr>
                <w:highlight w:val="yellow"/>
              </w:rPr>
            </w:pPr>
          </w:p>
          <w:p w14:paraId="656985BD" w14:textId="77777777" w:rsidR="00744A88" w:rsidRPr="009E503C" w:rsidRDefault="00744A88" w:rsidP="00353498">
            <w:pPr>
              <w:rPr>
                <w:b/>
              </w:rPr>
            </w:pPr>
            <w:r w:rsidRPr="009E503C">
              <w:rPr>
                <w:b/>
              </w:rPr>
              <w:t>Using non-instructional roles for industry experts</w:t>
            </w:r>
          </w:p>
          <w:p w14:paraId="5C8D0EC1" w14:textId="1ECA2783" w:rsidR="0066625B" w:rsidRPr="009E503C" w:rsidRDefault="0066625B" w:rsidP="00353498">
            <w:r w:rsidRPr="009E503C">
              <w:t xml:space="preserve">There are obviously many less formal roles industry experts can play in schools – they can serve as mentors or career coaches, guiding learners through their post-high school options; volunteer with CTSOs as advisors or competition judges; or partner with schools during career days, low-intensity work-based learning opportunities or serve as guest speakers. While most of the opportunities are developed and supported at the local level, states can provide resources, guidance or training to facilitate these positions. </w:t>
            </w:r>
            <w:r>
              <w:t>In fact, about 50 percent of states currently have initiatives or policies underway to recr</w:t>
            </w:r>
            <w:r w:rsidRPr="0066625B">
              <w:t>uit</w:t>
            </w:r>
            <w:r>
              <w:t xml:space="preserve"> industry experts</w:t>
            </w:r>
            <w:r w:rsidRPr="0066625B">
              <w:t xml:space="preserve"> as advisers, mentors or guest speakers</w:t>
            </w:r>
            <w:r>
              <w:t>.</w:t>
            </w:r>
          </w:p>
          <w:p w14:paraId="6CBF5800" w14:textId="77777777" w:rsidR="00744A88" w:rsidRPr="0023689C" w:rsidRDefault="00744A88" w:rsidP="00353498">
            <w:pPr>
              <w:rPr>
                <w:highlight w:val="yellow"/>
              </w:rPr>
            </w:pPr>
          </w:p>
          <w:p w14:paraId="039FFC1A" w14:textId="77777777" w:rsidR="00744A88" w:rsidRPr="000E37BC" w:rsidRDefault="00744A88" w:rsidP="00353498">
            <w:pPr>
              <w:rPr>
                <w:b/>
              </w:rPr>
            </w:pPr>
            <w:r w:rsidRPr="009E503C">
              <w:rPr>
                <w:b/>
              </w:rPr>
              <w:t>Partnering with postsecondary faculty</w:t>
            </w:r>
          </w:p>
          <w:p w14:paraId="2B972DEA" w14:textId="1DA93753" w:rsidR="00744A88" w:rsidRDefault="00050D03" w:rsidP="00353498">
            <w:r>
              <w:t xml:space="preserve">Another strategy – and one particularly attractive in rural and frontier communities – is to leverage dual/concurrent enrollment policies, co-located campuses or </w:t>
            </w:r>
            <w:r w:rsidR="0066625B">
              <w:t>even just</w:t>
            </w:r>
            <w:r>
              <w:t xml:space="preserve"> flexible instructors – to share faculty across secondary and postsecondary institutions. While this may not get around certain certification requirements, it does maximize the pool of possible instructors with industry expertise. </w:t>
            </w:r>
          </w:p>
          <w:p w14:paraId="61C933E3" w14:textId="77777777" w:rsidR="00744A88" w:rsidRPr="00BF67C8" w:rsidRDefault="00744A88" w:rsidP="00353498"/>
        </w:tc>
      </w:tr>
      <w:tr w:rsidR="00D132A3" w14:paraId="606A2B7B" w14:textId="77777777" w:rsidTr="001B4BDE">
        <w:trPr>
          <w:trHeight w:val="609"/>
        </w:trPr>
        <w:tc>
          <w:tcPr>
            <w:tcW w:w="1710" w:type="dxa"/>
            <w:shd w:val="clear" w:color="auto" w:fill="D5FCFF"/>
            <w:tcMar>
              <w:top w:w="72" w:type="dxa"/>
              <w:left w:w="115" w:type="dxa"/>
              <w:right w:w="115" w:type="dxa"/>
            </w:tcMar>
          </w:tcPr>
          <w:p w14:paraId="092C4B8E" w14:textId="5498E417" w:rsidR="00D132A3" w:rsidRPr="006169A9" w:rsidRDefault="00D132A3" w:rsidP="00353498">
            <w:pPr>
              <w:rPr>
                <w:b/>
              </w:rPr>
            </w:pPr>
            <w:r>
              <w:rPr>
                <w:b/>
              </w:rPr>
              <w:lastRenderedPageBreak/>
              <w:t xml:space="preserve">State Examples </w:t>
            </w:r>
          </w:p>
        </w:tc>
        <w:tc>
          <w:tcPr>
            <w:tcW w:w="7758" w:type="dxa"/>
            <w:shd w:val="clear" w:color="auto" w:fill="D5FCFF"/>
            <w:tcMar>
              <w:top w:w="72" w:type="dxa"/>
              <w:left w:w="115" w:type="dxa"/>
              <w:right w:w="115" w:type="dxa"/>
            </w:tcMar>
          </w:tcPr>
          <w:p w14:paraId="34EE28F0" w14:textId="5E95BD32" w:rsidR="00164447" w:rsidRDefault="001D7488" w:rsidP="007C2AE9">
            <w:pPr>
              <w:spacing w:after="160"/>
            </w:pPr>
            <w:r w:rsidRPr="001D7488">
              <w:rPr>
                <w:b/>
              </w:rPr>
              <w:t>South Dakota</w:t>
            </w:r>
            <w:r>
              <w:t xml:space="preserve"> </w:t>
            </w:r>
            <w:hyperlink r:id="rId55" w:history="1">
              <w:r w:rsidRPr="001D7488">
                <w:rPr>
                  <w:rStyle w:val="Hyperlink"/>
                </w:rPr>
                <w:t>allows</w:t>
              </w:r>
            </w:hyperlink>
            <w:r>
              <w:t xml:space="preserve"> individuals wishing to teach CTE courses to qualify for a two-year license if they hold an associate’s degree, have at least 4,000 hours of work experience or hold a nationally recognized certification in their field. Once hired, individuals join a mentorship program</w:t>
            </w:r>
            <w:r w:rsidR="00415234">
              <w:t xml:space="preserve"> and </w:t>
            </w:r>
            <w:r>
              <w:t>participate in professional development. They can also use their industry expertise to earn specific career pathway- and Career Cluster-level endorsements allowing them to teach more advanced coursework.</w:t>
            </w:r>
          </w:p>
          <w:p w14:paraId="2FA558A7" w14:textId="06F48404" w:rsidR="00164447" w:rsidRDefault="001D7488" w:rsidP="007C2AE9">
            <w:pPr>
              <w:spacing w:after="160"/>
            </w:pPr>
            <w:r>
              <w:rPr>
                <w:b/>
              </w:rPr>
              <w:t>Tennessee</w:t>
            </w:r>
            <w:r>
              <w:t xml:space="preserve"> allows industry experts to have their years of experience count as teaching experience for salary purposes. As a result, these experts may enter the teaching profession at a higher salary, in hopes of coming close to the salary earned while in industry.</w:t>
            </w:r>
          </w:p>
          <w:p w14:paraId="7AF69E2A" w14:textId="3188031A" w:rsidR="00266E28" w:rsidRDefault="00266E28" w:rsidP="00266E28">
            <w:pPr>
              <w:spacing w:after="160"/>
            </w:pPr>
            <w:r>
              <w:t xml:space="preserve">In </w:t>
            </w:r>
            <w:r>
              <w:rPr>
                <w:b/>
              </w:rPr>
              <w:t>Virginia</w:t>
            </w:r>
            <w:r>
              <w:t>, Career Technical Student Organizations (CTSOs</w:t>
            </w:r>
            <w:r w:rsidR="00415234">
              <w:t>)</w:t>
            </w:r>
            <w:r>
              <w:t xml:space="preserve"> have been an integral component of CTE programs. On the state level, employers serve as judges for state competitions and such engagement has paid off exponentially for Virginia’s CTE learners. For example, leaders from the state’s automobile dealers association initially served as CTSO judges, and after seeing the students in action, it spurred them to engage </w:t>
            </w:r>
            <w:r w:rsidR="00415234">
              <w:t xml:space="preserve">more deeply </w:t>
            </w:r>
            <w:r>
              <w:t>and for three decades have worked with the state on legislative advocacy, launching a statewide education partnership for automotive programs, and an MOU wherein the association provides technical assistance to schools and educators.</w:t>
            </w:r>
          </w:p>
          <w:p w14:paraId="07439496" w14:textId="77777777" w:rsidR="00472950" w:rsidRDefault="007C2AE9" w:rsidP="007C2AE9">
            <w:r w:rsidRPr="001D7488">
              <w:rPr>
                <w:b/>
              </w:rPr>
              <w:t>New Jersey</w:t>
            </w:r>
            <w:r>
              <w:t xml:space="preserve"> is undertaking an ambitious</w:t>
            </w:r>
            <w:r w:rsidRPr="001D7488">
              <w:t xml:space="preserve"> </w:t>
            </w:r>
            <w:hyperlink r:id="rId56" w:history="1">
              <w:r w:rsidRPr="001D7488">
                <w:rPr>
                  <w:rStyle w:val="Hyperlink"/>
                </w:rPr>
                <w:t>project</w:t>
              </w:r>
            </w:hyperlink>
            <w:r w:rsidRPr="001D7488">
              <w:t xml:space="preserve"> will employ a two-pronged approach</w:t>
            </w:r>
            <w:r>
              <w:t xml:space="preserve"> to increasing the supply of CTE teachers</w:t>
            </w:r>
            <w:r w:rsidRPr="001D7488">
              <w:t xml:space="preserve">: 1) Implement an Industry Fellows program to enable industry experts to co-teach on a part-time basis with experienced teachers in a CTE classroom as they decide whether they will become </w:t>
            </w:r>
            <w:r w:rsidRPr="001D7488">
              <w:lastRenderedPageBreak/>
              <w:t>a CTE teacher; and 2) Implement a CTE Teacher Bridge Program to enable general education teachers to become CTE teachers through industry externships, mentorship by an experienced CTE teacher, attainment of industry-focused content knowledge, and if available, an industry-valued credential.</w:t>
            </w:r>
          </w:p>
          <w:p w14:paraId="035B4B73" w14:textId="18AEDC3B" w:rsidR="007C2AE9" w:rsidRDefault="007C2AE9" w:rsidP="007C2AE9">
            <w:pPr>
              <w:spacing w:after="160"/>
            </w:pPr>
          </w:p>
        </w:tc>
      </w:tr>
    </w:tbl>
    <w:p w14:paraId="6412EA11" w14:textId="77777777" w:rsidR="00D132A3" w:rsidRDefault="00D132A3" w:rsidP="00353498"/>
    <w:p w14:paraId="44AA8CF4" w14:textId="7304E68F" w:rsidR="000A57CF" w:rsidRDefault="000A57CF" w:rsidP="00353498">
      <w:pPr>
        <w:spacing w:after="160"/>
        <w:rPr>
          <w:rFonts w:eastAsiaTheme="majorEastAsia" w:cstheme="majorBidi"/>
          <w:b/>
          <w:i/>
          <w:sz w:val="24"/>
          <w:szCs w:val="24"/>
        </w:rPr>
      </w:pPr>
    </w:p>
    <w:p w14:paraId="5DEE535E" w14:textId="1790EECF" w:rsidR="00D132A3" w:rsidRPr="002A6387" w:rsidRDefault="00D132A3" w:rsidP="00353498">
      <w:pPr>
        <w:pStyle w:val="Heading3"/>
        <w:rPr>
          <w:b/>
        </w:rPr>
      </w:pPr>
      <w:bookmarkStart w:id="25" w:name="_Toc511597557"/>
      <w:r w:rsidRPr="002A6387">
        <w:rPr>
          <w:b/>
        </w:rPr>
        <w:t xml:space="preserve">Key Questions:  </w:t>
      </w:r>
      <w:r w:rsidR="00B447D6">
        <w:rPr>
          <w:b/>
        </w:rPr>
        <w:t>Industry Experts in the Classroom</w:t>
      </w:r>
      <w:bookmarkEnd w:id="25"/>
    </w:p>
    <w:p w14:paraId="1B01181D" w14:textId="77777777" w:rsidR="00D132A3" w:rsidRPr="00645B9D" w:rsidRDefault="00D132A3" w:rsidP="00353498">
      <w:r>
        <w:t xml:space="preserve">Answer the questions below in the space provided. While these questions are all optional, we encourage you to capture your thoughts here so that you can easily refer back to them. </w:t>
      </w:r>
    </w:p>
    <w:tbl>
      <w:tblPr>
        <w:tblStyle w:val="TableGrid"/>
        <w:tblpPr w:leftFromText="180" w:rightFromText="180" w:vertAnchor="text" w:horzAnchor="page" w:tblpX="1213" w:tblpY="170"/>
        <w:tblW w:w="10080" w:type="dxa"/>
        <w:tblLook w:val="04A0" w:firstRow="1" w:lastRow="0" w:firstColumn="1" w:lastColumn="0" w:noHBand="0" w:noVBand="1"/>
      </w:tblPr>
      <w:tblGrid>
        <w:gridCol w:w="1576"/>
        <w:gridCol w:w="3477"/>
        <w:gridCol w:w="5027"/>
      </w:tblGrid>
      <w:tr w:rsidR="00D132A3" w:rsidRPr="006169A9" w14:paraId="16047CC9" w14:textId="77777777" w:rsidTr="0091625B">
        <w:trPr>
          <w:trHeight w:val="170"/>
          <w:tblHeader/>
        </w:trPr>
        <w:tc>
          <w:tcPr>
            <w:tcW w:w="1576" w:type="dxa"/>
            <w:shd w:val="clear" w:color="auto" w:fill="F2F2F2" w:themeFill="background1" w:themeFillShade="F2"/>
            <w:tcMar>
              <w:top w:w="72" w:type="dxa"/>
              <w:left w:w="115" w:type="dxa"/>
              <w:right w:w="115" w:type="dxa"/>
            </w:tcMar>
            <w:vAlign w:val="center"/>
          </w:tcPr>
          <w:p w14:paraId="1406D7A5" w14:textId="77777777" w:rsidR="00D132A3" w:rsidRPr="006169A9" w:rsidRDefault="00D132A3" w:rsidP="0091625B">
            <w:pPr>
              <w:pStyle w:val="Heading4"/>
              <w:outlineLvl w:val="3"/>
            </w:pPr>
            <w:r>
              <w:br w:type="page"/>
            </w:r>
          </w:p>
        </w:tc>
        <w:tc>
          <w:tcPr>
            <w:tcW w:w="3477" w:type="dxa"/>
            <w:shd w:val="clear" w:color="auto" w:fill="F2F2F2" w:themeFill="background1" w:themeFillShade="F2"/>
            <w:tcMar>
              <w:top w:w="72" w:type="dxa"/>
              <w:left w:w="115" w:type="dxa"/>
              <w:right w:w="115" w:type="dxa"/>
            </w:tcMar>
          </w:tcPr>
          <w:p w14:paraId="658B96E0" w14:textId="77777777" w:rsidR="00D132A3" w:rsidRPr="006169A9" w:rsidRDefault="00D132A3" w:rsidP="0091625B">
            <w:pPr>
              <w:jc w:val="center"/>
              <w:rPr>
                <w:b/>
                <w:i/>
                <w:sz w:val="24"/>
              </w:rPr>
            </w:pPr>
            <w:r>
              <w:rPr>
                <w:b/>
                <w:i/>
                <w:sz w:val="24"/>
              </w:rPr>
              <w:t>Key Questions</w:t>
            </w:r>
          </w:p>
        </w:tc>
        <w:tc>
          <w:tcPr>
            <w:tcW w:w="5027" w:type="dxa"/>
            <w:shd w:val="clear" w:color="auto" w:fill="F2F2F2" w:themeFill="background1" w:themeFillShade="F2"/>
            <w:tcMar>
              <w:top w:w="72" w:type="dxa"/>
              <w:left w:w="115" w:type="dxa"/>
              <w:right w:w="115" w:type="dxa"/>
            </w:tcMar>
          </w:tcPr>
          <w:p w14:paraId="37280995" w14:textId="77777777" w:rsidR="00D132A3" w:rsidRDefault="00D132A3" w:rsidP="0091625B">
            <w:pPr>
              <w:jc w:val="center"/>
            </w:pPr>
            <w:r w:rsidRPr="00EE58A1">
              <w:rPr>
                <w:b/>
                <w:i/>
                <w:sz w:val="24"/>
              </w:rPr>
              <w:t>State Response</w:t>
            </w:r>
          </w:p>
        </w:tc>
      </w:tr>
      <w:tr w:rsidR="000C763C" w14:paraId="63862894" w14:textId="77777777" w:rsidTr="0091625B">
        <w:trPr>
          <w:trHeight w:val="763"/>
          <w:tblHeader/>
        </w:trPr>
        <w:tc>
          <w:tcPr>
            <w:tcW w:w="1576" w:type="dxa"/>
            <w:vMerge w:val="restart"/>
            <w:tcMar>
              <w:top w:w="72" w:type="dxa"/>
              <w:left w:w="115" w:type="dxa"/>
              <w:right w:w="115" w:type="dxa"/>
            </w:tcMar>
            <w:vAlign w:val="center"/>
          </w:tcPr>
          <w:p w14:paraId="4533F4D3" w14:textId="0B468419" w:rsidR="000C763C" w:rsidRDefault="00B447D6" w:rsidP="0091625B">
            <w:r>
              <w:rPr>
                <w:b/>
                <w:i/>
                <w:sz w:val="24"/>
              </w:rPr>
              <w:t>Industry Experts in the Classroom</w:t>
            </w:r>
          </w:p>
        </w:tc>
        <w:tc>
          <w:tcPr>
            <w:tcW w:w="3477" w:type="dxa"/>
            <w:tcMar>
              <w:top w:w="72" w:type="dxa"/>
              <w:left w:w="115" w:type="dxa"/>
              <w:right w:w="115" w:type="dxa"/>
            </w:tcMar>
          </w:tcPr>
          <w:p w14:paraId="1F2F83FF" w14:textId="77777777" w:rsidR="006B53D9" w:rsidRDefault="006B53D9" w:rsidP="0091625B">
            <w:pPr>
              <w:spacing w:after="120"/>
            </w:pPr>
            <w:r>
              <w:t xml:space="preserve">If your state has a CTE teacher shortage, what are your state’s goals to provide in-depth experiential learning, career exploration and increase the capacity of existing teachers? </w:t>
            </w:r>
          </w:p>
          <w:p w14:paraId="5C32AD4F" w14:textId="7CE78E5F" w:rsidR="000C763C" w:rsidRDefault="006B53D9" w:rsidP="0091625B">
            <w:pPr>
              <w:spacing w:after="120"/>
            </w:pPr>
            <w:r>
              <w:t>What is the role of employers in helping achieve those goals?</w:t>
            </w:r>
          </w:p>
          <w:p w14:paraId="75441944" w14:textId="420718BE" w:rsidR="006B53D9" w:rsidRDefault="006B53D9" w:rsidP="0091625B">
            <w:pPr>
              <w:spacing w:after="120"/>
            </w:pPr>
          </w:p>
        </w:tc>
        <w:tc>
          <w:tcPr>
            <w:tcW w:w="5027" w:type="dxa"/>
            <w:tcMar>
              <w:top w:w="72" w:type="dxa"/>
              <w:left w:w="115" w:type="dxa"/>
              <w:right w:w="115" w:type="dxa"/>
            </w:tcMar>
          </w:tcPr>
          <w:p w14:paraId="508A4501" w14:textId="77777777" w:rsidR="000C763C" w:rsidRDefault="000C763C" w:rsidP="0091625B">
            <w:pPr>
              <w:pStyle w:val="Heading4"/>
              <w:outlineLvl w:val="3"/>
            </w:pPr>
          </w:p>
        </w:tc>
      </w:tr>
      <w:tr w:rsidR="000C763C" w14:paraId="063AC148" w14:textId="77777777" w:rsidTr="0091625B">
        <w:trPr>
          <w:trHeight w:val="1027"/>
          <w:tblHeader/>
        </w:trPr>
        <w:tc>
          <w:tcPr>
            <w:tcW w:w="1576" w:type="dxa"/>
            <w:vMerge/>
            <w:tcMar>
              <w:top w:w="72" w:type="dxa"/>
              <w:left w:w="115" w:type="dxa"/>
              <w:right w:w="115" w:type="dxa"/>
            </w:tcMar>
          </w:tcPr>
          <w:p w14:paraId="2CCFA137" w14:textId="77777777" w:rsidR="000C763C" w:rsidRPr="006169A9" w:rsidRDefault="000C763C" w:rsidP="0091625B">
            <w:pPr>
              <w:pStyle w:val="Heading4"/>
              <w:outlineLvl w:val="3"/>
            </w:pPr>
          </w:p>
        </w:tc>
        <w:tc>
          <w:tcPr>
            <w:tcW w:w="3477" w:type="dxa"/>
            <w:tcMar>
              <w:top w:w="72" w:type="dxa"/>
              <w:left w:w="115" w:type="dxa"/>
              <w:right w:w="115" w:type="dxa"/>
            </w:tcMar>
          </w:tcPr>
          <w:p w14:paraId="14296AE1" w14:textId="77777777" w:rsidR="000C763C" w:rsidRDefault="006B53D9" w:rsidP="0091625B">
            <w:pPr>
              <w:spacing w:after="120"/>
            </w:pPr>
            <w:r>
              <w:t>What strategies do you need to put in place to achieve these goals? (This could include revisiting existing teacher certification policies, non-instructional roles, postsecondary partnerships.)</w:t>
            </w:r>
          </w:p>
          <w:p w14:paraId="34688097" w14:textId="7C6A46C2" w:rsidR="006B53D9" w:rsidRPr="00C61F41" w:rsidRDefault="006B53D9" w:rsidP="0091625B">
            <w:pPr>
              <w:spacing w:after="120"/>
            </w:pPr>
          </w:p>
        </w:tc>
        <w:tc>
          <w:tcPr>
            <w:tcW w:w="5027" w:type="dxa"/>
            <w:tcMar>
              <w:top w:w="72" w:type="dxa"/>
              <w:left w:w="115" w:type="dxa"/>
              <w:right w:w="115" w:type="dxa"/>
            </w:tcMar>
          </w:tcPr>
          <w:p w14:paraId="2819F0E1" w14:textId="77777777" w:rsidR="000C763C" w:rsidRDefault="000C763C" w:rsidP="0091625B">
            <w:pPr>
              <w:pStyle w:val="Heading4"/>
              <w:outlineLvl w:val="3"/>
            </w:pPr>
          </w:p>
        </w:tc>
      </w:tr>
      <w:tr w:rsidR="000C763C" w14:paraId="1C2B870D" w14:textId="77777777" w:rsidTr="0091625B">
        <w:trPr>
          <w:trHeight w:val="1027"/>
          <w:tblHeader/>
        </w:trPr>
        <w:tc>
          <w:tcPr>
            <w:tcW w:w="1576" w:type="dxa"/>
            <w:vMerge/>
            <w:tcMar>
              <w:top w:w="72" w:type="dxa"/>
              <w:left w:w="115" w:type="dxa"/>
              <w:right w:w="115" w:type="dxa"/>
            </w:tcMar>
          </w:tcPr>
          <w:p w14:paraId="17159CF5" w14:textId="13F5EA85" w:rsidR="000C763C" w:rsidRPr="006169A9" w:rsidRDefault="000C763C" w:rsidP="0091625B">
            <w:pPr>
              <w:pStyle w:val="Heading4"/>
              <w:outlineLvl w:val="3"/>
            </w:pPr>
          </w:p>
        </w:tc>
        <w:tc>
          <w:tcPr>
            <w:tcW w:w="3477" w:type="dxa"/>
            <w:tcMar>
              <w:top w:w="72" w:type="dxa"/>
              <w:left w:w="115" w:type="dxa"/>
              <w:right w:w="115" w:type="dxa"/>
            </w:tcMar>
          </w:tcPr>
          <w:p w14:paraId="33332684" w14:textId="0669BD6E" w:rsidR="000C763C" w:rsidRPr="000A57CF" w:rsidRDefault="007B5FB2" w:rsidP="0091625B">
            <w:pPr>
              <w:spacing w:after="120"/>
              <w:rPr>
                <w:lang w:val="en-GB"/>
              </w:rPr>
            </w:pPr>
            <w:r>
              <w:rPr>
                <w:lang w:val="en-GB"/>
              </w:rPr>
              <w:t>Once the employer role is established, how can you ensure sustainability? (such as MOUs, etc.)</w:t>
            </w:r>
          </w:p>
        </w:tc>
        <w:tc>
          <w:tcPr>
            <w:tcW w:w="5027" w:type="dxa"/>
            <w:tcMar>
              <w:top w:w="72" w:type="dxa"/>
              <w:left w:w="115" w:type="dxa"/>
              <w:right w:w="115" w:type="dxa"/>
            </w:tcMar>
          </w:tcPr>
          <w:p w14:paraId="4C5962AE" w14:textId="77777777" w:rsidR="000C763C" w:rsidRDefault="000C763C" w:rsidP="0091625B">
            <w:pPr>
              <w:pStyle w:val="Heading4"/>
              <w:outlineLvl w:val="3"/>
            </w:pPr>
          </w:p>
        </w:tc>
      </w:tr>
    </w:tbl>
    <w:p w14:paraId="4595CA3D" w14:textId="77777777" w:rsidR="00645B9D" w:rsidRDefault="00645B9D" w:rsidP="00353498">
      <w:pPr>
        <w:pStyle w:val="Heading2"/>
        <w:sectPr w:rsidR="00645B9D" w:rsidSect="00D132A3">
          <w:headerReference w:type="default" r:id="rId57"/>
          <w:footerReference w:type="default" r:id="rId58"/>
          <w:type w:val="continuous"/>
          <w:pgSz w:w="12240" w:h="15840"/>
          <w:pgMar w:top="1440" w:right="1440" w:bottom="1440" w:left="1440" w:header="720" w:footer="720" w:gutter="0"/>
          <w:cols w:space="720"/>
          <w:titlePg/>
          <w:docGrid w:linePitch="360"/>
        </w:sectPr>
      </w:pPr>
    </w:p>
    <w:p w14:paraId="1E7C4F71" w14:textId="77777777" w:rsidR="00645B9D" w:rsidRDefault="00645B9D" w:rsidP="00353498">
      <w:pPr>
        <w:pStyle w:val="Heading2"/>
        <w:sectPr w:rsidR="00645B9D" w:rsidSect="00D132A3">
          <w:type w:val="continuous"/>
          <w:pgSz w:w="12240" w:h="15840"/>
          <w:pgMar w:top="1440" w:right="1440" w:bottom="1440" w:left="1440" w:header="720" w:footer="720" w:gutter="0"/>
          <w:cols w:space="720"/>
          <w:titlePg/>
          <w:docGrid w:linePitch="360"/>
        </w:sectPr>
      </w:pPr>
    </w:p>
    <w:p w14:paraId="22006E41" w14:textId="5CCBCEA6" w:rsidR="00B447D6" w:rsidRDefault="00B447D6" w:rsidP="00353498">
      <w:pPr>
        <w:spacing w:after="160"/>
      </w:pPr>
      <w:r>
        <w:br w:type="page"/>
      </w:r>
    </w:p>
    <w:p w14:paraId="324D6849" w14:textId="6EAB178C" w:rsidR="00B447D6" w:rsidRDefault="00B447D6" w:rsidP="00353498">
      <w:pPr>
        <w:pStyle w:val="Style1"/>
        <w:numPr>
          <w:ilvl w:val="0"/>
          <w:numId w:val="0"/>
        </w:numPr>
        <w:rPr>
          <w:b/>
        </w:rPr>
      </w:pPr>
      <w:bookmarkStart w:id="26" w:name="_Toc511597558"/>
      <w:r>
        <w:rPr>
          <w:b/>
        </w:rPr>
        <w:lastRenderedPageBreak/>
        <w:t>Supporting Quality Employer Engagement at the Local Level</w:t>
      </w:r>
      <w:bookmarkEnd w:id="26"/>
      <w:r>
        <w:rPr>
          <w:b/>
        </w:rPr>
        <w:t xml:space="preserve"> </w:t>
      </w:r>
    </w:p>
    <w:p w14:paraId="0B384BAC" w14:textId="76CDA898" w:rsidR="00B30637" w:rsidRDefault="00B30637" w:rsidP="00353498">
      <w:pPr>
        <w:rPr>
          <w:lang w:val="en-GB"/>
        </w:rPr>
      </w:pPr>
      <w:r>
        <w:rPr>
          <w:lang w:val="en-GB"/>
        </w:rPr>
        <w:t xml:space="preserve">While we have laid out numerous ways in which your state can and should engage with employers, a majority of employer engagement will take place locally with schools and institutions. Beyond </w:t>
      </w:r>
      <w:r w:rsidR="00A763B7">
        <w:rPr>
          <w:lang w:val="en-GB"/>
        </w:rPr>
        <w:t>a handful</w:t>
      </w:r>
      <w:r>
        <w:rPr>
          <w:lang w:val="en-GB"/>
        </w:rPr>
        <w:t xml:space="preserve"> </w:t>
      </w:r>
      <w:r w:rsidR="00415234">
        <w:rPr>
          <w:lang w:val="en-GB"/>
        </w:rPr>
        <w:t xml:space="preserve">of </w:t>
      </w:r>
      <w:r>
        <w:rPr>
          <w:lang w:val="en-GB"/>
        </w:rPr>
        <w:t xml:space="preserve">anecdotes, states rarely </w:t>
      </w:r>
      <w:r w:rsidR="00A763B7">
        <w:rPr>
          <w:lang w:val="en-GB"/>
        </w:rPr>
        <w:t>have a mechanism to learn</w:t>
      </w:r>
      <w:r>
        <w:rPr>
          <w:lang w:val="en-GB"/>
        </w:rPr>
        <w:t xml:space="preserve"> about the extent, intensity</w:t>
      </w:r>
      <w:r w:rsidR="00A763B7">
        <w:rPr>
          <w:lang w:val="en-GB"/>
        </w:rPr>
        <w:t xml:space="preserve"> or quality of this engagement. However, </w:t>
      </w:r>
      <w:r>
        <w:rPr>
          <w:lang w:val="en-GB"/>
        </w:rPr>
        <w:t xml:space="preserve">as a state leader, you can play a role </w:t>
      </w:r>
      <w:r w:rsidR="00415234">
        <w:rPr>
          <w:lang w:val="en-GB"/>
        </w:rPr>
        <w:t>in supporting</w:t>
      </w:r>
      <w:r>
        <w:rPr>
          <w:lang w:val="en-GB"/>
        </w:rPr>
        <w:t xml:space="preserve"> high-quality interactions with employers and help yield positive results for CTE programs of study. </w:t>
      </w:r>
      <w:r w:rsidR="00F6230C">
        <w:rPr>
          <w:lang w:val="en-GB"/>
        </w:rPr>
        <w:t>Additionally, you might need to help your local programs think creatively about how to overcome barriers to employer engagement in rural areas, or regions where engagement could be better streamlined to avoid employer exhaustion.</w:t>
      </w:r>
    </w:p>
    <w:p w14:paraId="13BD36B4" w14:textId="4879BA28" w:rsidR="00B30637" w:rsidRDefault="00B30637" w:rsidP="00353498">
      <w:pPr>
        <w:rPr>
          <w:lang w:val="en-GB"/>
        </w:rPr>
      </w:pPr>
    </w:p>
    <w:p w14:paraId="00E77B62" w14:textId="0FFA116F" w:rsidR="00B30637" w:rsidRDefault="00B30637" w:rsidP="00353498">
      <w:pPr>
        <w:rPr>
          <w:lang w:val="en-GB"/>
        </w:rPr>
      </w:pPr>
      <w:r>
        <w:rPr>
          <w:lang w:val="en-GB"/>
        </w:rPr>
        <w:t>In Advance CTE’s 2014 survey on employer engagement, 43 states required employers to participate on local advisory committees for CTE programs to be eligible for Perkins funding. Yet</w:t>
      </w:r>
      <w:r w:rsidR="007565C9">
        <w:rPr>
          <w:lang w:val="en-GB"/>
        </w:rPr>
        <w:t>,</w:t>
      </w:r>
      <w:r>
        <w:rPr>
          <w:lang w:val="en-GB"/>
        </w:rPr>
        <w:t xml:space="preserve"> too often, this activity </w:t>
      </w:r>
      <w:r w:rsidR="00A763B7">
        <w:rPr>
          <w:lang w:val="en-GB"/>
        </w:rPr>
        <w:t>i</w:t>
      </w:r>
      <w:r>
        <w:rPr>
          <w:lang w:val="en-GB"/>
        </w:rPr>
        <w:t>s more of a box to che</w:t>
      </w:r>
      <w:r w:rsidR="00A763B7">
        <w:rPr>
          <w:lang w:val="en-GB"/>
        </w:rPr>
        <w:t>ck with a semi-regular convening where educators tell employers what they are doing while giving them few opportunities for input or influence. Other times, the composition of an advisory committee may include legacy members while missing important local or regional employers who are end-consumers for program graduates and influencers in the regional</w:t>
      </w:r>
      <w:r w:rsidR="00D066BD">
        <w:rPr>
          <w:lang w:val="en-GB"/>
        </w:rPr>
        <w:t xml:space="preserve"> </w:t>
      </w:r>
      <w:r w:rsidR="00A763B7">
        <w:rPr>
          <w:lang w:val="en-GB"/>
        </w:rPr>
        <w:t>labor market.</w:t>
      </w:r>
    </w:p>
    <w:p w14:paraId="0946E430" w14:textId="3CBAB6DE" w:rsidR="007B496A" w:rsidRDefault="007B496A" w:rsidP="00353498">
      <w:pPr>
        <w:rPr>
          <w:lang w:val="en-GB"/>
        </w:rPr>
      </w:pPr>
    </w:p>
    <w:p w14:paraId="62062B1A" w14:textId="4AC9CE4C" w:rsidR="007B496A" w:rsidRDefault="007B496A" w:rsidP="00353498">
      <w:pPr>
        <w:rPr>
          <w:lang w:val="en-GB"/>
        </w:rPr>
      </w:pPr>
      <w:r>
        <w:rPr>
          <w:lang w:val="en-GB"/>
        </w:rPr>
        <w:t>Employers who have actively work</w:t>
      </w:r>
      <w:r w:rsidR="007565C9">
        <w:rPr>
          <w:lang w:val="en-GB"/>
        </w:rPr>
        <w:t>ed</w:t>
      </w:r>
      <w:r>
        <w:rPr>
          <w:lang w:val="en-GB"/>
        </w:rPr>
        <w:t xml:space="preserve"> with your local CTE programs can also be some of your most powerful champions because they have seen up-close-and-personal </w:t>
      </w:r>
      <w:r w:rsidR="00D066BD">
        <w:rPr>
          <w:lang w:val="en-GB"/>
        </w:rPr>
        <w:t xml:space="preserve">how </w:t>
      </w:r>
      <w:r>
        <w:rPr>
          <w:lang w:val="en-GB"/>
        </w:rPr>
        <w:t xml:space="preserve">CTE works and understand the value of its investment. As a state leader, you can </w:t>
      </w:r>
      <w:r w:rsidRPr="007B496A">
        <w:t>honor</w:t>
      </w:r>
      <w:r>
        <w:rPr>
          <w:lang w:val="en-GB"/>
        </w:rPr>
        <w:t xml:space="preserve"> these champions as another way of lifting up the value of their contribution to CTE. </w:t>
      </w:r>
    </w:p>
    <w:p w14:paraId="4165C261" w14:textId="77777777" w:rsidR="00B30637" w:rsidRDefault="00B30637" w:rsidP="00353498">
      <w:pPr>
        <w:rPr>
          <w:lang w:val="en-GB"/>
        </w:rPr>
      </w:pPr>
    </w:p>
    <w:p w14:paraId="13AAECA3" w14:textId="51592B86" w:rsidR="00B447D6" w:rsidRDefault="00B447D6" w:rsidP="00353498">
      <w:pPr>
        <w:pStyle w:val="Heading2"/>
        <w:rPr>
          <w:lang w:val="en-GB"/>
        </w:rPr>
      </w:pPr>
      <w:bookmarkStart w:id="27" w:name="_Toc511597559"/>
      <w:r>
        <w:rPr>
          <w:lang w:val="en-GB"/>
        </w:rPr>
        <w:t xml:space="preserve">Section 1: </w:t>
      </w:r>
      <w:r w:rsidR="00682ABE">
        <w:rPr>
          <w:lang w:val="en-GB"/>
        </w:rPr>
        <w:t>State Policies to Support Local Employer Engagement</w:t>
      </w:r>
      <w:bookmarkEnd w:id="27"/>
      <w:r>
        <w:rPr>
          <w:lang w:val="en-GB"/>
        </w:rPr>
        <w:t xml:space="preserve"> </w:t>
      </w:r>
    </w:p>
    <w:p w14:paraId="193294C8" w14:textId="1AD53139" w:rsidR="00B447D6" w:rsidRDefault="007B496A" w:rsidP="00353498">
      <w:pPr>
        <w:rPr>
          <w:lang w:val="en-GB"/>
        </w:rPr>
      </w:pPr>
      <w:r>
        <w:rPr>
          <w:lang w:val="en-GB"/>
        </w:rPr>
        <w:t xml:space="preserve">Your program approval and re-approval policies are a critical lever at your disposal to set a floor for employer engagement across your state. As noted above, 43 states </w:t>
      </w:r>
      <w:r w:rsidR="00F6230C">
        <w:rPr>
          <w:lang w:val="en-GB"/>
        </w:rPr>
        <w:t>required employer participation on program advisory committees</w:t>
      </w:r>
      <w:r w:rsidR="00C43B62">
        <w:rPr>
          <w:lang w:val="en-GB"/>
        </w:rPr>
        <w:t xml:space="preserve"> to be eligible for Perkins funds</w:t>
      </w:r>
      <w:r w:rsidR="00F6230C">
        <w:rPr>
          <w:lang w:val="en-GB"/>
        </w:rPr>
        <w:t xml:space="preserve"> but the extent of that involvement can vary greatly. Through your program approval and re-approval policies, you can establish clear guardrails around this type of activity.</w:t>
      </w:r>
    </w:p>
    <w:p w14:paraId="0E00EBE9" w14:textId="77777777" w:rsidR="007B496A" w:rsidRPr="00B447D6" w:rsidRDefault="007B496A" w:rsidP="00353498">
      <w:pPr>
        <w:rPr>
          <w:lang w:val="en-GB"/>
        </w:rPr>
      </w:pPr>
    </w:p>
    <w:p w14:paraId="3A5B4B4B" w14:textId="06A8A170" w:rsidR="00B447D6" w:rsidRPr="00B447D6" w:rsidRDefault="009E503C" w:rsidP="00353498">
      <w:pPr>
        <w:pStyle w:val="Heading3"/>
        <w:rPr>
          <w:b/>
        </w:rPr>
      </w:pPr>
      <w:bookmarkStart w:id="28" w:name="_Toc511597560"/>
      <w:r>
        <w:rPr>
          <w:b/>
        </w:rPr>
        <w:t>State Policies to Support Local Employer Engagement</w:t>
      </w:r>
      <w:bookmarkEnd w:id="28"/>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1710"/>
        <w:gridCol w:w="7758"/>
      </w:tblGrid>
      <w:tr w:rsidR="00B447D6" w14:paraId="4BF8D1E4" w14:textId="77777777" w:rsidTr="009A01C7">
        <w:trPr>
          <w:trHeight w:val="49"/>
        </w:trPr>
        <w:tc>
          <w:tcPr>
            <w:tcW w:w="1710" w:type="dxa"/>
            <w:shd w:val="clear" w:color="auto" w:fill="F2F2F2" w:themeFill="background1" w:themeFillShade="F2"/>
            <w:tcMar>
              <w:top w:w="72" w:type="dxa"/>
              <w:left w:w="115" w:type="dxa"/>
              <w:right w:w="115" w:type="dxa"/>
            </w:tcMar>
          </w:tcPr>
          <w:p w14:paraId="5B644B4B" w14:textId="77777777" w:rsidR="00B447D6" w:rsidRPr="006169A9" w:rsidRDefault="00B447D6" w:rsidP="00353498">
            <w:pPr>
              <w:rPr>
                <w:b/>
              </w:rPr>
            </w:pPr>
            <w:r>
              <w:rPr>
                <w:b/>
              </w:rPr>
              <w:t>Options &amp; Opportunities</w:t>
            </w:r>
          </w:p>
        </w:tc>
        <w:tc>
          <w:tcPr>
            <w:tcW w:w="7758" w:type="dxa"/>
            <w:shd w:val="clear" w:color="auto" w:fill="F2F2F2" w:themeFill="background1" w:themeFillShade="F2"/>
            <w:tcMar>
              <w:top w:w="72" w:type="dxa"/>
              <w:left w:w="115" w:type="dxa"/>
              <w:right w:w="115" w:type="dxa"/>
            </w:tcMar>
          </w:tcPr>
          <w:p w14:paraId="257694B2" w14:textId="1B0A4CA0" w:rsidR="00F60BF4" w:rsidRDefault="00F60BF4" w:rsidP="00353498">
            <w:r>
              <w:t>Review the two scenarios below for a state program approval policy as it relates to industry involvement. Then consider what your s</w:t>
            </w:r>
            <w:r w:rsidR="00D86C6C">
              <w:t>tate’s approval policy includes.</w:t>
            </w:r>
            <w:r>
              <w:t xml:space="preserve"> </w:t>
            </w:r>
          </w:p>
          <w:p w14:paraId="752A4BEC" w14:textId="77777777" w:rsidR="00AA621A" w:rsidRDefault="00AA621A" w:rsidP="00353498"/>
          <w:p w14:paraId="4A8F5713" w14:textId="5D07EBB1" w:rsidR="00F60BF4" w:rsidRDefault="00F60BF4" w:rsidP="00353498">
            <w:pPr>
              <w:rPr>
                <w:i/>
              </w:rPr>
            </w:pPr>
            <w:r>
              <w:rPr>
                <w:i/>
              </w:rPr>
              <w:t xml:space="preserve">Scenario 1: </w:t>
            </w:r>
          </w:p>
          <w:p w14:paraId="13304A0D" w14:textId="637F8610" w:rsidR="00286FE8" w:rsidRDefault="00F6230C" w:rsidP="00353498">
            <w:r>
              <w:t xml:space="preserve">Local-level employer engagement is a perennial issue that the State Director is hearing </w:t>
            </w:r>
            <w:r w:rsidR="007565C9">
              <w:t xml:space="preserve">about </w:t>
            </w:r>
            <w:r>
              <w:t>from all sides. Employers are complaining to the legislature, governor and state superintendent that there are no CTE programs in their local communities and they can’t find the skilled workforce to fill their open positions</w:t>
            </w:r>
            <w:r w:rsidR="00286FE8">
              <w:t>. Yet,</w:t>
            </w:r>
            <w:r>
              <w:t xml:space="preserve"> each </w:t>
            </w:r>
            <w:r w:rsidR="00CC5283">
              <w:t>institution</w:t>
            </w:r>
            <w:r>
              <w:t xml:space="preserve"> in those employers’ regions receives CTE funding. Additionally, local CTE programs are </w:t>
            </w:r>
            <w:r w:rsidR="00286FE8">
              <w:t xml:space="preserve">suffering from low enrollment and few work-based learning opportunities. Local </w:t>
            </w:r>
            <w:r w:rsidR="00CC5283">
              <w:t>educators</w:t>
            </w:r>
            <w:r w:rsidR="00286FE8">
              <w:t xml:space="preserve"> are struggling to recruit employers to participate in their annual advisory committee meetings.</w:t>
            </w:r>
          </w:p>
          <w:p w14:paraId="0299B56D" w14:textId="77777777" w:rsidR="00AA621A" w:rsidRDefault="00AA621A" w:rsidP="00353498"/>
          <w:p w14:paraId="34FE36AB" w14:textId="3AFC15D9" w:rsidR="00286FE8" w:rsidRDefault="00286FE8" w:rsidP="00353498">
            <w:r>
              <w:t xml:space="preserve">A quick analysis of the </w:t>
            </w:r>
            <w:r w:rsidR="00F60BF4">
              <w:t xml:space="preserve">state’s program approval policy </w:t>
            </w:r>
            <w:r>
              <w:t xml:space="preserve">shows that employers are required to participate on </w:t>
            </w:r>
            <w:r w:rsidR="00F60BF4">
              <w:t>local-level advisory committ</w:t>
            </w:r>
            <w:r w:rsidR="00F6230C">
              <w:t xml:space="preserve">ees but membership composition </w:t>
            </w:r>
            <w:r w:rsidR="00F60BF4">
              <w:t>and term lengths are not</w:t>
            </w:r>
            <w:r>
              <w:t xml:space="preserve"> well</w:t>
            </w:r>
            <w:r w:rsidR="007565C9">
              <w:t>-</w:t>
            </w:r>
            <w:r w:rsidR="00F60BF4">
              <w:t>defined.</w:t>
            </w:r>
            <w:r>
              <w:t xml:space="preserve"> The policy does not </w:t>
            </w:r>
            <w:r>
              <w:lastRenderedPageBreak/>
              <w:t xml:space="preserve">adequately address how these members are selected leading to imbalanced representation of employers and associations in certain regions. </w:t>
            </w:r>
          </w:p>
          <w:p w14:paraId="354C45C5" w14:textId="5F87EC7E" w:rsidR="00286FE8" w:rsidRDefault="00286FE8" w:rsidP="00353498">
            <w:r>
              <w:t xml:space="preserve">Additionally, the policy lacks clarity regarding the ways that industry partners should provide input on local programs, including its design or the standards used. </w:t>
            </w:r>
            <w:r w:rsidR="00F60BF4">
              <w:t xml:space="preserve">Other than the initial CTE program review, </w:t>
            </w:r>
            <w:r>
              <w:t>the policy</w:t>
            </w:r>
            <w:r w:rsidR="00F60BF4">
              <w:t xml:space="preserve"> does not require a set number of meetings or suggest any meeting objectives for advisory </w:t>
            </w:r>
            <w:r>
              <w:t>committees.</w:t>
            </w:r>
          </w:p>
          <w:p w14:paraId="018CF3A0" w14:textId="4DEDE16D" w:rsidR="00286FE8" w:rsidRDefault="00286FE8" w:rsidP="00353498">
            <w:r>
              <w:t>---</w:t>
            </w:r>
          </w:p>
          <w:p w14:paraId="6B2B6B41" w14:textId="22E335A0" w:rsidR="00F60BF4" w:rsidRDefault="00F60BF4" w:rsidP="00353498">
            <w:r>
              <w:rPr>
                <w:i/>
              </w:rPr>
              <w:t>Scenario 2:</w:t>
            </w:r>
          </w:p>
          <w:p w14:paraId="5BF36AD6" w14:textId="277C06A5" w:rsidR="00137AFC" w:rsidRDefault="00137AFC" w:rsidP="00353498">
            <w:r>
              <w:t xml:space="preserve">Employers can’t stop talking about their local CTE programs and are actively stepping up to support statewide initiatives to grow and scale high-quality CTE across the state. As they talk with legislators and the governor, employers give clear examples of how they worked shoulder-to-shoulder with their local CTE programs at the secondary and postsecondary levels to design and validate quality programs that are churning out engaged, well-prepared graduates who are receiving offer letters the same day as their diplomas. </w:t>
            </w:r>
          </w:p>
          <w:p w14:paraId="5C179DD0" w14:textId="77777777" w:rsidR="00AA621A" w:rsidRDefault="00AA621A" w:rsidP="00353498"/>
          <w:p w14:paraId="56D2BADE" w14:textId="1B259C3C" w:rsidR="00F60BF4" w:rsidRDefault="00137AFC" w:rsidP="00353498">
            <w:r>
              <w:t xml:space="preserve">As part of the newly revised state program approval policy, </w:t>
            </w:r>
            <w:r w:rsidR="00F60BF4">
              <w:t xml:space="preserve">local-level advisory committees </w:t>
            </w:r>
            <w:r>
              <w:t xml:space="preserve">must use </w:t>
            </w:r>
            <w:r w:rsidR="00F60BF4">
              <w:t>a clear and transparent process and memorandum of understanding (or an equivalent), with participants who represent</w:t>
            </w:r>
            <w:r w:rsidR="00D066BD">
              <w:t xml:space="preserve"> a diversity of</w:t>
            </w:r>
            <w:r w:rsidR="00F60BF4">
              <w:t xml:space="preserve"> local or regional industry and requirements for regular structured interactions and consistent attendance. </w:t>
            </w:r>
          </w:p>
          <w:p w14:paraId="4F147DD4" w14:textId="77777777" w:rsidR="00AA621A" w:rsidRDefault="00AA621A" w:rsidP="00353498"/>
          <w:p w14:paraId="13E9C656" w14:textId="206BC31F" w:rsidR="00F60BF4" w:rsidRDefault="00137AFC" w:rsidP="00353498">
            <w:r>
              <w:t>Additionally, i</w:t>
            </w:r>
            <w:r w:rsidR="00F60BF4">
              <w:t xml:space="preserve">nput from industry partners is required at key points </w:t>
            </w:r>
            <w:r>
              <w:t>throughout the design and validation process for all new CTE programs,</w:t>
            </w:r>
            <w:r w:rsidR="00F60BF4">
              <w:t xml:space="preserve"> including </w:t>
            </w:r>
            <w:r>
              <w:t>the revision of standards</w:t>
            </w:r>
            <w:r w:rsidR="00F60BF4">
              <w:t xml:space="preserve"> and design of expe</w:t>
            </w:r>
            <w:r>
              <w:t xml:space="preserve">riential learning opportunities. Moreover, the state policy </w:t>
            </w:r>
            <w:r w:rsidR="00F60BF4">
              <w:t>requires a clear expectation and timeline for ongoing engagement with industry partners, including reviews of course standards and CTE program outcomes</w:t>
            </w:r>
            <w:r>
              <w:t xml:space="preserve">. </w:t>
            </w:r>
          </w:p>
          <w:p w14:paraId="612930A3" w14:textId="04F51419" w:rsidR="00137AFC" w:rsidRDefault="00137AFC" w:rsidP="00353498">
            <w:r>
              <w:t>--</w:t>
            </w:r>
          </w:p>
          <w:p w14:paraId="3AD42C48" w14:textId="777BB343" w:rsidR="00F60BF4" w:rsidRDefault="00D066BD" w:rsidP="00353498">
            <w:r>
              <w:t>While these two scenarios –</w:t>
            </w:r>
            <w:r w:rsidR="00137AFC">
              <w:t xml:space="preserve"> drawn from Advance CTE’s </w:t>
            </w:r>
            <w:hyperlink r:id="rId59" w:history="1">
              <w:r w:rsidR="007565C9">
                <w:rPr>
                  <w:rStyle w:val="Hyperlink"/>
                </w:rPr>
                <w:t>P</w:t>
              </w:r>
              <w:r w:rsidR="00137AFC" w:rsidRPr="00137AFC">
                <w:rPr>
                  <w:rStyle w:val="Hyperlink"/>
                </w:rPr>
                <w:t xml:space="preserve">olicy </w:t>
              </w:r>
              <w:r w:rsidR="007565C9">
                <w:rPr>
                  <w:rStyle w:val="Hyperlink"/>
                </w:rPr>
                <w:t>B</w:t>
              </w:r>
              <w:r w:rsidR="00137AFC" w:rsidRPr="00137AFC">
                <w:rPr>
                  <w:rStyle w:val="Hyperlink"/>
                </w:rPr>
                <w:t xml:space="preserve">enchmark </w:t>
              </w:r>
              <w:r w:rsidR="007565C9">
                <w:rPr>
                  <w:rStyle w:val="Hyperlink"/>
                </w:rPr>
                <w:t>T</w:t>
              </w:r>
              <w:r w:rsidR="00137AFC" w:rsidRPr="00137AFC">
                <w:rPr>
                  <w:rStyle w:val="Hyperlink"/>
                </w:rPr>
                <w:t>ool</w:t>
              </w:r>
            </w:hyperlink>
            <w:r w:rsidR="00137AFC">
              <w:t>, where it details industry involvement and collaboration in emerging and strong policies</w:t>
            </w:r>
            <w:r>
              <w:t xml:space="preserve"> – may </w:t>
            </w:r>
            <w:r w:rsidR="007565C9">
              <w:t xml:space="preserve">show </w:t>
            </w:r>
            <w:r>
              <w:t xml:space="preserve">the extreme ends of </w:t>
            </w:r>
            <w:r w:rsidR="00CC5283">
              <w:t>employer engagement and local</w:t>
            </w:r>
            <w:r>
              <w:t xml:space="preserve"> advisory committees, they should provide some insights into key elements and outcomes of a successful program approval policy, and related state supports. </w:t>
            </w:r>
          </w:p>
          <w:p w14:paraId="0AF12CD2" w14:textId="77777777" w:rsidR="00AA621A" w:rsidRDefault="00AA621A" w:rsidP="00353498"/>
          <w:p w14:paraId="60E123D6" w14:textId="7D91E9BA" w:rsidR="00416566" w:rsidRDefault="00416566" w:rsidP="00353498">
            <w:r>
              <w:t xml:space="preserve">During program re-approval and other monitoring, states can collect local examples and best practices for employer engagement. In the 2014 survey, less than half of states monitored or captured programs’ employer partnership activities in any way. </w:t>
            </w:r>
            <w:r w:rsidR="00AD09A1">
              <w:t xml:space="preserve">However, using these monitoring opportunities for more than compliance can pay dividends for your state. It can help you uncover best practices that could be compiled into a clearinghouse and then shared widely with other programs to replicate. </w:t>
            </w:r>
          </w:p>
          <w:p w14:paraId="31A96E4A" w14:textId="006C6F95" w:rsidR="00C43B62" w:rsidRPr="00BF67C8" w:rsidRDefault="00C43B62" w:rsidP="007C2AE9"/>
        </w:tc>
      </w:tr>
      <w:tr w:rsidR="00B447D6" w14:paraId="07E62CD9" w14:textId="77777777" w:rsidTr="009A01C7">
        <w:trPr>
          <w:trHeight w:val="609"/>
        </w:trPr>
        <w:tc>
          <w:tcPr>
            <w:tcW w:w="1710" w:type="dxa"/>
            <w:shd w:val="clear" w:color="auto" w:fill="D5FCFF"/>
            <w:tcMar>
              <w:top w:w="72" w:type="dxa"/>
              <w:left w:w="115" w:type="dxa"/>
              <w:right w:w="115" w:type="dxa"/>
            </w:tcMar>
          </w:tcPr>
          <w:p w14:paraId="2398FCD5" w14:textId="77777777" w:rsidR="00B447D6" w:rsidRPr="006169A9" w:rsidRDefault="00B447D6" w:rsidP="00353498">
            <w:pPr>
              <w:rPr>
                <w:b/>
              </w:rPr>
            </w:pPr>
            <w:r>
              <w:rPr>
                <w:b/>
              </w:rPr>
              <w:lastRenderedPageBreak/>
              <w:t xml:space="preserve">State Examples </w:t>
            </w:r>
          </w:p>
        </w:tc>
        <w:tc>
          <w:tcPr>
            <w:tcW w:w="7758" w:type="dxa"/>
            <w:shd w:val="clear" w:color="auto" w:fill="D5FCFF"/>
            <w:tcMar>
              <w:top w:w="72" w:type="dxa"/>
              <w:left w:w="115" w:type="dxa"/>
              <w:right w:w="115" w:type="dxa"/>
            </w:tcMar>
          </w:tcPr>
          <w:p w14:paraId="43B8E1E6" w14:textId="62E1B3B2" w:rsidR="00AD09A1" w:rsidRDefault="00AD09A1" w:rsidP="00353498">
            <w:pPr>
              <w:spacing w:after="160"/>
            </w:pPr>
            <w:r w:rsidRPr="008B4F6A">
              <w:rPr>
                <w:b/>
              </w:rPr>
              <w:t>Tennessee</w:t>
            </w:r>
            <w:r>
              <w:t xml:space="preserve"> shifted its monitoring practices </w:t>
            </w:r>
            <w:r w:rsidRPr="00AD09A1">
              <w:t>from a schedu</w:t>
            </w:r>
            <w:r>
              <w:t>led four-</w:t>
            </w:r>
            <w:r w:rsidRPr="00AD09A1">
              <w:t>year rotation of monitoring of secondary Perkins sub-recipients to a syste</w:t>
            </w:r>
            <w:r>
              <w:t>m that was fully based on risk</w:t>
            </w:r>
            <w:r w:rsidR="008B4F6A">
              <w:t xml:space="preserve">, using established </w:t>
            </w:r>
            <w:hyperlink r:id="rId60" w:history="1">
              <w:r w:rsidR="008B4F6A" w:rsidRPr="008B4F6A">
                <w:rPr>
                  <w:rStyle w:val="Hyperlink"/>
                </w:rPr>
                <w:t>quality program indicators</w:t>
              </w:r>
            </w:hyperlink>
            <w:r>
              <w:t xml:space="preserve">. This also </w:t>
            </w:r>
            <w:r w:rsidR="007565C9">
              <w:t>provided</w:t>
            </w:r>
            <w:r w:rsidRPr="00AD09A1">
              <w:t xml:space="preserve"> a time that </w:t>
            </w:r>
            <w:r>
              <w:t>state staff</w:t>
            </w:r>
            <w:r w:rsidRPr="00AD09A1">
              <w:t xml:space="preserve"> could push the message of support and technical assistanc</w:t>
            </w:r>
            <w:r>
              <w:t xml:space="preserve">e. As </w:t>
            </w:r>
            <w:r>
              <w:lastRenderedPageBreak/>
              <w:t xml:space="preserve">part of this shift, state staff </w:t>
            </w:r>
            <w:r w:rsidR="008B4F6A">
              <w:t>also are</w:t>
            </w:r>
            <w:r>
              <w:t xml:space="preserve"> able to collect examples of local employer engagement and other practices to share.</w:t>
            </w:r>
          </w:p>
          <w:p w14:paraId="3571705D" w14:textId="67CE29E5" w:rsidR="00450D6D" w:rsidRDefault="00450D6D" w:rsidP="00353498">
            <w:pPr>
              <w:spacing w:after="160"/>
            </w:pPr>
            <w:r w:rsidRPr="00450D6D">
              <w:rPr>
                <w:b/>
              </w:rPr>
              <w:t>Minnesota</w:t>
            </w:r>
            <w:r>
              <w:t xml:space="preserve"> uses a consortium model to deliver CTE statewide. The model uses the </w:t>
            </w:r>
            <w:hyperlink r:id="rId61" w:history="1">
              <w:r w:rsidRPr="00B757E3">
                <w:rPr>
                  <w:rStyle w:val="Hyperlink"/>
                </w:rPr>
                <w:t>Rigorous Programs of Study framework</w:t>
              </w:r>
            </w:hyperlink>
            <w:r>
              <w:t xml:space="preserve">, which includes strong employer partnerships. According to the state’s CTE office, a fully developed, high-quality program of study must include a written MOU with all consortia partners, including secondary and postsecondary CTE and employers. Having these MOUs enables the state to collect and track information about employer-educators partnerships happening at the local level. </w:t>
            </w:r>
          </w:p>
          <w:p w14:paraId="3B629A47" w14:textId="27CF87E6" w:rsidR="007C4CA1" w:rsidRPr="007C4CA1" w:rsidRDefault="007C4CA1" w:rsidP="007C4CA1">
            <w:pPr>
              <w:widowControl w:val="0"/>
              <w:pBdr>
                <w:top w:val="nil"/>
                <w:left w:val="nil"/>
                <w:bottom w:val="nil"/>
                <w:right w:val="nil"/>
                <w:between w:val="nil"/>
              </w:pBdr>
              <w:contextualSpacing/>
            </w:pPr>
            <w:r w:rsidRPr="009E503C">
              <w:rPr>
                <w:b/>
              </w:rPr>
              <w:t>New York</w:t>
            </w:r>
            <w:r w:rsidR="00CC5283">
              <w:rPr>
                <w:b/>
              </w:rPr>
              <w:t>’s</w:t>
            </w:r>
            <w:r w:rsidR="00CC5283">
              <w:t xml:space="preserve"> recently approved state plan under the Every Student Succeeds Act indicates that the state</w:t>
            </w:r>
            <w:r w:rsidRPr="009E503C">
              <w:t xml:space="preserve"> plans to require schools and districts to incorporate input from community partners </w:t>
            </w:r>
            <w:r w:rsidRPr="009E503C">
              <w:sym w:font="Symbol" w:char="F02D"/>
            </w:r>
            <w:r w:rsidRPr="009E503C">
              <w:t xml:space="preserve"> who may offer CTE and career readiness activities </w:t>
            </w:r>
            <w:r w:rsidRPr="009E503C">
              <w:sym w:font="Symbol" w:char="F02D"/>
            </w:r>
            <w:r w:rsidRPr="009E503C">
              <w:t xml:space="preserve"> as they developed a comprehensive needs assessment related to their school improvement designation.</w:t>
            </w:r>
            <w:r w:rsidRPr="007C4CA1">
              <w:t xml:space="preserve"> </w:t>
            </w:r>
          </w:p>
          <w:p w14:paraId="3F284B86" w14:textId="77777777" w:rsidR="00B447D6" w:rsidRDefault="00B447D6" w:rsidP="00353498">
            <w:pPr>
              <w:spacing w:after="120"/>
            </w:pPr>
          </w:p>
        </w:tc>
      </w:tr>
    </w:tbl>
    <w:p w14:paraId="24533A27" w14:textId="77777777" w:rsidR="00B447D6" w:rsidRDefault="00B447D6" w:rsidP="00353498"/>
    <w:p w14:paraId="07E9B5B3" w14:textId="77777777" w:rsidR="009E503C" w:rsidRPr="00B447D6" w:rsidRDefault="00B447D6" w:rsidP="009E503C">
      <w:pPr>
        <w:pStyle w:val="Heading3"/>
        <w:rPr>
          <w:b/>
        </w:rPr>
      </w:pPr>
      <w:bookmarkStart w:id="29" w:name="_Toc511597561"/>
      <w:r w:rsidRPr="002A6387">
        <w:rPr>
          <w:b/>
        </w:rPr>
        <w:t xml:space="preserve">Key Questions:  </w:t>
      </w:r>
      <w:r w:rsidR="009E503C">
        <w:rPr>
          <w:b/>
        </w:rPr>
        <w:t>State Policies to Support Local Employer Engagement</w:t>
      </w:r>
      <w:bookmarkEnd w:id="29"/>
    </w:p>
    <w:p w14:paraId="5F0868F5" w14:textId="77777777" w:rsidR="00B447D6" w:rsidRPr="00645B9D" w:rsidRDefault="00B447D6" w:rsidP="00353498">
      <w:r>
        <w:t xml:space="preserve">Answer the questions below in the space provided. While these questions are all optional, we encourage you to capture your thoughts here so that you can easily refer back to them. </w:t>
      </w:r>
    </w:p>
    <w:tbl>
      <w:tblPr>
        <w:tblStyle w:val="TableGrid"/>
        <w:tblpPr w:leftFromText="180" w:rightFromText="180" w:vertAnchor="text" w:horzAnchor="page" w:tblpX="1123" w:tblpY="170"/>
        <w:tblW w:w="10170" w:type="dxa"/>
        <w:tblLook w:val="04A0" w:firstRow="1" w:lastRow="0" w:firstColumn="1" w:lastColumn="0" w:noHBand="0" w:noVBand="1"/>
      </w:tblPr>
      <w:tblGrid>
        <w:gridCol w:w="1666"/>
        <w:gridCol w:w="3477"/>
        <w:gridCol w:w="5027"/>
      </w:tblGrid>
      <w:tr w:rsidR="00B447D6" w:rsidRPr="006169A9" w14:paraId="35C7294B" w14:textId="77777777" w:rsidTr="00603B6D">
        <w:trPr>
          <w:trHeight w:val="170"/>
          <w:tblHeader/>
        </w:trPr>
        <w:tc>
          <w:tcPr>
            <w:tcW w:w="1666" w:type="dxa"/>
            <w:shd w:val="clear" w:color="auto" w:fill="F2F2F2" w:themeFill="background1" w:themeFillShade="F2"/>
            <w:tcMar>
              <w:top w:w="72" w:type="dxa"/>
              <w:left w:w="115" w:type="dxa"/>
              <w:right w:w="115" w:type="dxa"/>
            </w:tcMar>
            <w:vAlign w:val="center"/>
          </w:tcPr>
          <w:p w14:paraId="60AF6B20" w14:textId="77777777" w:rsidR="00B447D6" w:rsidRPr="006169A9" w:rsidRDefault="00B447D6" w:rsidP="00603B6D">
            <w:pPr>
              <w:pStyle w:val="Heading4"/>
              <w:outlineLvl w:val="3"/>
            </w:pPr>
            <w:r>
              <w:br w:type="page"/>
            </w:r>
          </w:p>
        </w:tc>
        <w:tc>
          <w:tcPr>
            <w:tcW w:w="3477" w:type="dxa"/>
            <w:shd w:val="clear" w:color="auto" w:fill="F2F2F2" w:themeFill="background1" w:themeFillShade="F2"/>
            <w:tcMar>
              <w:top w:w="72" w:type="dxa"/>
              <w:left w:w="115" w:type="dxa"/>
              <w:right w:w="115" w:type="dxa"/>
            </w:tcMar>
          </w:tcPr>
          <w:p w14:paraId="44AD8896" w14:textId="77777777" w:rsidR="00B447D6" w:rsidRPr="006169A9" w:rsidRDefault="00B447D6" w:rsidP="00603B6D">
            <w:pPr>
              <w:jc w:val="center"/>
              <w:rPr>
                <w:b/>
                <w:i/>
                <w:sz w:val="24"/>
              </w:rPr>
            </w:pPr>
            <w:r>
              <w:rPr>
                <w:b/>
                <w:i/>
                <w:sz w:val="24"/>
              </w:rPr>
              <w:t>Key Questions</w:t>
            </w:r>
          </w:p>
        </w:tc>
        <w:tc>
          <w:tcPr>
            <w:tcW w:w="5027" w:type="dxa"/>
            <w:shd w:val="clear" w:color="auto" w:fill="F2F2F2" w:themeFill="background1" w:themeFillShade="F2"/>
            <w:tcMar>
              <w:top w:w="72" w:type="dxa"/>
              <w:left w:w="115" w:type="dxa"/>
              <w:right w:w="115" w:type="dxa"/>
            </w:tcMar>
          </w:tcPr>
          <w:p w14:paraId="505DB3CA" w14:textId="77777777" w:rsidR="00B447D6" w:rsidRDefault="00B447D6" w:rsidP="00603B6D">
            <w:pPr>
              <w:jc w:val="center"/>
            </w:pPr>
            <w:r w:rsidRPr="00EE58A1">
              <w:rPr>
                <w:b/>
                <w:i/>
                <w:sz w:val="24"/>
              </w:rPr>
              <w:t>State Response</w:t>
            </w:r>
          </w:p>
        </w:tc>
      </w:tr>
      <w:tr w:rsidR="00B447D6" w14:paraId="73ADF05C" w14:textId="77777777" w:rsidTr="00603B6D">
        <w:trPr>
          <w:trHeight w:val="763"/>
          <w:tblHeader/>
        </w:trPr>
        <w:tc>
          <w:tcPr>
            <w:tcW w:w="1666" w:type="dxa"/>
            <w:vMerge w:val="restart"/>
            <w:tcMar>
              <w:top w:w="72" w:type="dxa"/>
              <w:left w:w="115" w:type="dxa"/>
              <w:right w:w="115" w:type="dxa"/>
            </w:tcMar>
            <w:vAlign w:val="center"/>
          </w:tcPr>
          <w:p w14:paraId="68C86052" w14:textId="77777777" w:rsidR="009E503C" w:rsidRPr="00C257A1" w:rsidRDefault="009E503C" w:rsidP="00603B6D">
            <w:pPr>
              <w:rPr>
                <w:b/>
                <w:i/>
                <w:sz w:val="24"/>
              </w:rPr>
            </w:pPr>
            <w:r w:rsidRPr="00C257A1">
              <w:rPr>
                <w:b/>
                <w:i/>
                <w:sz w:val="24"/>
              </w:rPr>
              <w:t>State Policies to Support Local Employer Engagement</w:t>
            </w:r>
          </w:p>
          <w:p w14:paraId="34880514" w14:textId="502CFBE5" w:rsidR="00B447D6" w:rsidRPr="00B447D6" w:rsidRDefault="00B447D6" w:rsidP="00603B6D"/>
        </w:tc>
        <w:tc>
          <w:tcPr>
            <w:tcW w:w="3477" w:type="dxa"/>
            <w:tcMar>
              <w:top w:w="72" w:type="dxa"/>
              <w:left w:w="115" w:type="dxa"/>
              <w:right w:w="115" w:type="dxa"/>
            </w:tcMar>
          </w:tcPr>
          <w:p w14:paraId="4336FED9" w14:textId="19741EB6" w:rsidR="00CC5283" w:rsidRDefault="00CC5283" w:rsidP="00603B6D">
            <w:pPr>
              <w:spacing w:after="120"/>
            </w:pPr>
            <w:r>
              <w:t>Looking back at the scenarios above, which one better represents your state? Why?</w:t>
            </w:r>
          </w:p>
          <w:p w14:paraId="61379A25" w14:textId="0AC31C01" w:rsidR="00CC5283" w:rsidRDefault="00CC5283" w:rsidP="00603B6D">
            <w:pPr>
              <w:spacing w:after="120"/>
            </w:pPr>
          </w:p>
        </w:tc>
        <w:tc>
          <w:tcPr>
            <w:tcW w:w="5027" w:type="dxa"/>
            <w:tcMar>
              <w:top w:w="72" w:type="dxa"/>
              <w:left w:w="115" w:type="dxa"/>
              <w:right w:w="115" w:type="dxa"/>
            </w:tcMar>
          </w:tcPr>
          <w:p w14:paraId="2D215B07" w14:textId="77777777" w:rsidR="00B447D6" w:rsidRDefault="00B447D6" w:rsidP="00603B6D">
            <w:pPr>
              <w:pStyle w:val="Heading4"/>
              <w:outlineLvl w:val="3"/>
            </w:pPr>
          </w:p>
        </w:tc>
      </w:tr>
      <w:tr w:rsidR="00CC5283" w14:paraId="24EA17B0" w14:textId="77777777" w:rsidTr="00603B6D">
        <w:trPr>
          <w:trHeight w:val="1027"/>
          <w:tblHeader/>
        </w:trPr>
        <w:tc>
          <w:tcPr>
            <w:tcW w:w="1666" w:type="dxa"/>
            <w:vMerge/>
            <w:tcMar>
              <w:top w:w="72" w:type="dxa"/>
              <w:left w:w="115" w:type="dxa"/>
              <w:right w:w="115" w:type="dxa"/>
            </w:tcMar>
          </w:tcPr>
          <w:p w14:paraId="26E19492" w14:textId="77777777" w:rsidR="00CC5283" w:rsidRPr="006169A9" w:rsidRDefault="00CC5283" w:rsidP="00603B6D">
            <w:pPr>
              <w:pStyle w:val="Heading4"/>
              <w:outlineLvl w:val="3"/>
            </w:pPr>
          </w:p>
        </w:tc>
        <w:tc>
          <w:tcPr>
            <w:tcW w:w="3477" w:type="dxa"/>
            <w:tcMar>
              <w:top w:w="72" w:type="dxa"/>
              <w:left w:w="115" w:type="dxa"/>
              <w:right w:w="115" w:type="dxa"/>
            </w:tcMar>
          </w:tcPr>
          <w:p w14:paraId="40EF9BC0" w14:textId="77777777" w:rsidR="00CC5283" w:rsidRDefault="00CC5283" w:rsidP="00603B6D">
            <w:pPr>
              <w:spacing w:after="120"/>
            </w:pPr>
            <w:r>
              <w:t xml:space="preserve">How do your existing program approval policies touch on employer engagement? </w:t>
            </w:r>
          </w:p>
          <w:p w14:paraId="370D773C" w14:textId="77777777" w:rsidR="00CC5283" w:rsidRDefault="00CC5283" w:rsidP="00603B6D">
            <w:pPr>
              <w:spacing w:after="120"/>
            </w:pPr>
          </w:p>
        </w:tc>
        <w:tc>
          <w:tcPr>
            <w:tcW w:w="5027" w:type="dxa"/>
            <w:tcMar>
              <w:top w:w="72" w:type="dxa"/>
              <w:left w:w="115" w:type="dxa"/>
              <w:right w:w="115" w:type="dxa"/>
            </w:tcMar>
          </w:tcPr>
          <w:p w14:paraId="1AA41C9B" w14:textId="77777777" w:rsidR="00CC5283" w:rsidRDefault="00CC5283" w:rsidP="00603B6D">
            <w:pPr>
              <w:pStyle w:val="Heading4"/>
              <w:outlineLvl w:val="3"/>
            </w:pPr>
          </w:p>
        </w:tc>
      </w:tr>
      <w:tr w:rsidR="00B447D6" w14:paraId="4E84FDBE" w14:textId="77777777" w:rsidTr="00603B6D">
        <w:trPr>
          <w:trHeight w:val="1027"/>
          <w:tblHeader/>
        </w:trPr>
        <w:tc>
          <w:tcPr>
            <w:tcW w:w="1666" w:type="dxa"/>
            <w:vMerge/>
            <w:tcMar>
              <w:top w:w="72" w:type="dxa"/>
              <w:left w:w="115" w:type="dxa"/>
              <w:right w:w="115" w:type="dxa"/>
            </w:tcMar>
          </w:tcPr>
          <w:p w14:paraId="72EAEAEF" w14:textId="2FCF4451" w:rsidR="00B447D6" w:rsidRPr="006169A9" w:rsidRDefault="00B447D6" w:rsidP="00603B6D">
            <w:pPr>
              <w:pStyle w:val="Heading4"/>
              <w:outlineLvl w:val="3"/>
            </w:pPr>
          </w:p>
        </w:tc>
        <w:tc>
          <w:tcPr>
            <w:tcW w:w="3477" w:type="dxa"/>
            <w:tcMar>
              <w:top w:w="72" w:type="dxa"/>
              <w:left w:w="115" w:type="dxa"/>
              <w:right w:w="115" w:type="dxa"/>
            </w:tcMar>
          </w:tcPr>
          <w:p w14:paraId="7A161738" w14:textId="77777777" w:rsidR="00B447D6" w:rsidRDefault="00CC5283" w:rsidP="00603B6D">
            <w:pPr>
              <w:spacing w:after="120"/>
            </w:pPr>
            <w:r>
              <w:t xml:space="preserve">Does your state collect and share local best practices regarding employer engagement? How do you help LEAs and institutions improve the ways in which they engage with and use employers? </w:t>
            </w:r>
          </w:p>
          <w:p w14:paraId="3943DA38" w14:textId="77777777" w:rsidR="00CC5283" w:rsidRPr="00C61F41" w:rsidRDefault="00CC5283" w:rsidP="00603B6D">
            <w:pPr>
              <w:spacing w:after="120"/>
            </w:pPr>
          </w:p>
        </w:tc>
        <w:tc>
          <w:tcPr>
            <w:tcW w:w="5027" w:type="dxa"/>
            <w:tcMar>
              <w:top w:w="72" w:type="dxa"/>
              <w:left w:w="115" w:type="dxa"/>
              <w:right w:w="115" w:type="dxa"/>
            </w:tcMar>
          </w:tcPr>
          <w:p w14:paraId="7B1778DF" w14:textId="77777777" w:rsidR="00B447D6" w:rsidRDefault="00B447D6" w:rsidP="00603B6D">
            <w:pPr>
              <w:pStyle w:val="Heading4"/>
              <w:outlineLvl w:val="3"/>
            </w:pPr>
          </w:p>
        </w:tc>
      </w:tr>
      <w:tr w:rsidR="00B447D6" w14:paraId="0C524613" w14:textId="77777777" w:rsidTr="00603B6D">
        <w:trPr>
          <w:trHeight w:val="1027"/>
          <w:tblHeader/>
        </w:trPr>
        <w:tc>
          <w:tcPr>
            <w:tcW w:w="1666" w:type="dxa"/>
            <w:vMerge/>
            <w:tcMar>
              <w:top w:w="72" w:type="dxa"/>
              <w:left w:w="115" w:type="dxa"/>
              <w:right w:w="115" w:type="dxa"/>
            </w:tcMar>
          </w:tcPr>
          <w:p w14:paraId="5F07503E" w14:textId="3C85BCC6" w:rsidR="00B447D6" w:rsidRPr="006169A9" w:rsidRDefault="00B447D6" w:rsidP="00603B6D">
            <w:pPr>
              <w:pStyle w:val="Heading4"/>
              <w:outlineLvl w:val="3"/>
            </w:pPr>
          </w:p>
        </w:tc>
        <w:tc>
          <w:tcPr>
            <w:tcW w:w="3477" w:type="dxa"/>
            <w:tcMar>
              <w:top w:w="72" w:type="dxa"/>
              <w:left w:w="115" w:type="dxa"/>
              <w:right w:w="115" w:type="dxa"/>
            </w:tcMar>
          </w:tcPr>
          <w:p w14:paraId="30284828" w14:textId="77777777" w:rsidR="00B447D6" w:rsidRDefault="00CC5283" w:rsidP="00603B6D">
            <w:pPr>
              <w:spacing w:after="120"/>
              <w:rPr>
                <w:lang w:val="en-GB"/>
              </w:rPr>
            </w:pPr>
            <w:r>
              <w:rPr>
                <w:lang w:val="en-GB"/>
              </w:rPr>
              <w:t>How are employers involved at the local level during the design and validation phase of a program that is new or up for re-approval?</w:t>
            </w:r>
          </w:p>
          <w:p w14:paraId="369E3BC8" w14:textId="21A5DD6C" w:rsidR="00603B6D" w:rsidRPr="000A57CF" w:rsidRDefault="00603B6D" w:rsidP="00603B6D">
            <w:pPr>
              <w:spacing w:after="120"/>
              <w:rPr>
                <w:lang w:val="en-GB"/>
              </w:rPr>
            </w:pPr>
          </w:p>
        </w:tc>
        <w:tc>
          <w:tcPr>
            <w:tcW w:w="5027" w:type="dxa"/>
            <w:tcMar>
              <w:top w:w="72" w:type="dxa"/>
              <w:left w:w="115" w:type="dxa"/>
              <w:right w:w="115" w:type="dxa"/>
            </w:tcMar>
          </w:tcPr>
          <w:p w14:paraId="6F6838A7" w14:textId="77777777" w:rsidR="00B447D6" w:rsidRDefault="00B447D6" w:rsidP="00603B6D">
            <w:pPr>
              <w:pStyle w:val="Heading4"/>
              <w:outlineLvl w:val="3"/>
            </w:pPr>
          </w:p>
        </w:tc>
      </w:tr>
    </w:tbl>
    <w:p w14:paraId="29819CE7" w14:textId="77777777" w:rsidR="00C43B62" w:rsidRPr="00C43B62" w:rsidRDefault="007C2AE9" w:rsidP="00353498">
      <w:pPr>
        <w:sectPr w:rsidR="00C43B62" w:rsidRPr="00C43B62" w:rsidSect="00D132A3">
          <w:headerReference w:type="default" r:id="rId62"/>
          <w:footerReference w:type="default" r:id="rId63"/>
          <w:type w:val="continuous"/>
          <w:pgSz w:w="12240" w:h="15840"/>
          <w:pgMar w:top="1440" w:right="1440" w:bottom="1440" w:left="1440" w:header="720" w:footer="720" w:gutter="0"/>
          <w:cols w:space="720"/>
          <w:titlePg/>
          <w:docGrid w:linePitch="360"/>
        </w:sectPr>
      </w:pPr>
      <w:r>
        <w:br w:type="column"/>
      </w:r>
    </w:p>
    <w:p w14:paraId="21664728" w14:textId="77777777" w:rsidR="00B447D6" w:rsidRDefault="00B447D6" w:rsidP="00353498">
      <w:pPr>
        <w:pStyle w:val="Heading2"/>
        <w:rPr>
          <w:lang w:val="en-GB"/>
        </w:rPr>
      </w:pPr>
      <w:bookmarkStart w:id="30" w:name="_Toc511597562"/>
      <w:r>
        <w:rPr>
          <w:lang w:val="en-GB"/>
        </w:rPr>
        <w:t>Section 2: Local Advisory Committees</w:t>
      </w:r>
      <w:bookmarkEnd w:id="30"/>
      <w:r>
        <w:rPr>
          <w:lang w:val="en-GB"/>
        </w:rPr>
        <w:t xml:space="preserve"> </w:t>
      </w:r>
    </w:p>
    <w:p w14:paraId="6BC4901D" w14:textId="555BB2A6" w:rsidR="00B447D6" w:rsidRDefault="00450D6D" w:rsidP="00353498">
      <w:pPr>
        <w:rPr>
          <w:lang w:val="en-GB"/>
        </w:rPr>
      </w:pPr>
      <w:r>
        <w:rPr>
          <w:lang w:val="en-GB"/>
        </w:rPr>
        <w:t>As made clear above, CTE advisory committees can help create a strong infrastructure for local program success. Along with a strong program approval policy, states can play an important role in helping strengthen these committees through guidance and other supports.</w:t>
      </w:r>
    </w:p>
    <w:p w14:paraId="6ED9866B" w14:textId="77777777" w:rsidR="00B447D6" w:rsidRPr="00B447D6" w:rsidRDefault="00B447D6" w:rsidP="00353498">
      <w:pPr>
        <w:rPr>
          <w:lang w:val="en-GB"/>
        </w:rPr>
      </w:pPr>
    </w:p>
    <w:p w14:paraId="2A06A7A4" w14:textId="2283F9CD" w:rsidR="00B447D6" w:rsidRPr="00B447D6" w:rsidRDefault="00B447D6" w:rsidP="00353498">
      <w:pPr>
        <w:pStyle w:val="Heading3"/>
        <w:rPr>
          <w:b/>
        </w:rPr>
      </w:pPr>
      <w:bookmarkStart w:id="31" w:name="_Toc511597563"/>
      <w:r>
        <w:rPr>
          <w:b/>
        </w:rPr>
        <w:t>Local Advisory Committees</w:t>
      </w:r>
      <w:bookmarkEnd w:id="31"/>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1710"/>
        <w:gridCol w:w="7758"/>
      </w:tblGrid>
      <w:tr w:rsidR="00B447D6" w14:paraId="76DC8717" w14:textId="77777777" w:rsidTr="009A01C7">
        <w:trPr>
          <w:trHeight w:val="49"/>
        </w:trPr>
        <w:tc>
          <w:tcPr>
            <w:tcW w:w="1710" w:type="dxa"/>
            <w:shd w:val="clear" w:color="auto" w:fill="F2F2F2" w:themeFill="background1" w:themeFillShade="F2"/>
            <w:tcMar>
              <w:top w:w="72" w:type="dxa"/>
              <w:left w:w="115" w:type="dxa"/>
              <w:right w:w="115" w:type="dxa"/>
            </w:tcMar>
          </w:tcPr>
          <w:p w14:paraId="5C5A004A" w14:textId="77777777" w:rsidR="00B447D6" w:rsidRPr="006169A9" w:rsidRDefault="00B447D6" w:rsidP="00353498">
            <w:pPr>
              <w:rPr>
                <w:b/>
              </w:rPr>
            </w:pPr>
            <w:r>
              <w:rPr>
                <w:b/>
              </w:rPr>
              <w:t>Options &amp; Opportunities</w:t>
            </w:r>
          </w:p>
        </w:tc>
        <w:tc>
          <w:tcPr>
            <w:tcW w:w="7758" w:type="dxa"/>
            <w:shd w:val="clear" w:color="auto" w:fill="F2F2F2" w:themeFill="background1" w:themeFillShade="F2"/>
            <w:tcMar>
              <w:top w:w="72" w:type="dxa"/>
              <w:left w:w="115" w:type="dxa"/>
              <w:right w:w="115" w:type="dxa"/>
            </w:tcMar>
          </w:tcPr>
          <w:p w14:paraId="6B033140" w14:textId="35C4F3B9" w:rsidR="00456E05" w:rsidRDefault="00456E05" w:rsidP="00353498">
            <w:r>
              <w:t>Local advisory committees can include a range of key individuals, including secondary and postsecondary partners as well as employers</w:t>
            </w:r>
            <w:r w:rsidR="007C4CA1">
              <w:t xml:space="preserve"> and community leaders</w:t>
            </w:r>
            <w:r>
              <w:t xml:space="preserve">. Employers who agree to participate on local advisory programs are not just doing so because it is the right thing to do. They are balancing multiple priorities and will want to see a return on investment for the time they spend on these committees. At the state level, there are a few ways that you can help move these local advisory bodies from perfunctory to productive. </w:t>
            </w:r>
          </w:p>
          <w:p w14:paraId="4A6B006A" w14:textId="77777777" w:rsidR="008E6D44" w:rsidRDefault="008E6D44" w:rsidP="00353498"/>
          <w:p w14:paraId="793CFA73" w14:textId="0D4A1692" w:rsidR="008E6D44" w:rsidRDefault="00456E05" w:rsidP="00353498">
            <w:r>
              <w:t xml:space="preserve">First, know what these local advisory committees look like across your state. </w:t>
            </w:r>
            <w:r w:rsidR="00F5354E">
              <w:t>True</w:t>
            </w:r>
            <w:r>
              <w:t xml:space="preserve"> programs of study scale learner levels,</w:t>
            </w:r>
            <w:r w:rsidR="00F5354E">
              <w:t xml:space="preserve"> but</w:t>
            </w:r>
            <w:r>
              <w:t xml:space="preserve"> how many of these</w:t>
            </w:r>
            <w:r w:rsidR="00CC5283">
              <w:t xml:space="preserve"> local advisory</w:t>
            </w:r>
            <w:r>
              <w:t xml:space="preserve"> committees are shared by secondary and postsecondary programs? </w:t>
            </w:r>
            <w:r w:rsidR="00391141">
              <w:t>Is there a need for regional coordination and if so, what form would that take?</w:t>
            </w:r>
            <w:r w:rsidR="007C4CA1">
              <w:t xml:space="preserve"> Should each individual program of study have its own advisory committee or can they be pooled across programs within a single Career Cluster, or even shared school, district or institution wide? </w:t>
            </w:r>
            <w:r w:rsidR="00391141">
              <w:t xml:space="preserve"> </w:t>
            </w:r>
            <w:r>
              <w:t xml:space="preserve">As </w:t>
            </w:r>
            <w:r w:rsidR="00CC5283">
              <w:t>states</w:t>
            </w:r>
            <w:r>
              <w:t xml:space="preserve"> continue to call for more and more alignment to employer and labor market demand, it’s also imperative that </w:t>
            </w:r>
            <w:r w:rsidR="00CC5283">
              <w:t>the “asks” of employers are</w:t>
            </w:r>
            <w:r>
              <w:t xml:space="preserve"> streamline</w:t>
            </w:r>
            <w:r w:rsidR="00CC5283">
              <w:t>d</w:t>
            </w:r>
            <w:r>
              <w:t xml:space="preserve"> </w:t>
            </w:r>
            <w:r w:rsidR="00CC5283">
              <w:t xml:space="preserve">to maximize their time and input efficiently. </w:t>
            </w:r>
          </w:p>
          <w:p w14:paraId="33D11422" w14:textId="77777777" w:rsidR="008E6D44" w:rsidRDefault="008E6D44" w:rsidP="00353498"/>
          <w:p w14:paraId="6ED71A73" w14:textId="5CC41AEE" w:rsidR="008E6D44" w:rsidRDefault="008E6D44" w:rsidP="00353498">
            <w:r>
              <w:t>Many states opt to develop written guidance</w:t>
            </w:r>
            <w:r w:rsidR="00B465F7">
              <w:t>, criteria</w:t>
            </w:r>
            <w:r>
              <w:t xml:space="preserve"> and toolkits that local educators can use when developing or strengthening local advisory committees. Consider how you can make these guides interactive and more than a static PDF. The more tangible and actionable the information, the easier it will be for local educators to use. </w:t>
            </w:r>
            <w:r w:rsidR="00B465F7">
              <w:t xml:space="preserve"> Related to this, states can and should identify those advisory committees that exemplify the kind of partnerships you want to see at the local level and provide professional development to other local leaders on how to replicate such successes. </w:t>
            </w:r>
          </w:p>
          <w:p w14:paraId="7E634933" w14:textId="57C97F54" w:rsidR="008E6D44" w:rsidRDefault="008E6D44" w:rsidP="00353498"/>
          <w:p w14:paraId="68268C9C" w14:textId="593B7FD1" w:rsidR="008E6D44" w:rsidRDefault="00B465F7" w:rsidP="00353498">
            <w:r>
              <w:t>Finally, c</w:t>
            </w:r>
            <w:r w:rsidR="008E6D44">
              <w:t xml:space="preserve">onsider, too, how you can use your state-level connections to facilitate introductions between regional industry associations and local schools and institutions whose program advisory bodies are missing key employer representation. </w:t>
            </w:r>
          </w:p>
          <w:p w14:paraId="03C9FC31" w14:textId="2777F29B" w:rsidR="00B447D6" w:rsidRPr="00BF67C8" w:rsidRDefault="00B447D6" w:rsidP="00353498">
            <w:pPr>
              <w:spacing w:after="120"/>
            </w:pPr>
          </w:p>
        </w:tc>
      </w:tr>
      <w:tr w:rsidR="00B447D6" w14:paraId="39D2BBEE" w14:textId="77777777" w:rsidTr="009A01C7">
        <w:trPr>
          <w:trHeight w:val="609"/>
        </w:trPr>
        <w:tc>
          <w:tcPr>
            <w:tcW w:w="1710" w:type="dxa"/>
            <w:shd w:val="clear" w:color="auto" w:fill="D5FCFF"/>
            <w:tcMar>
              <w:top w:w="72" w:type="dxa"/>
              <w:left w:w="115" w:type="dxa"/>
              <w:right w:w="115" w:type="dxa"/>
            </w:tcMar>
          </w:tcPr>
          <w:p w14:paraId="05376C67" w14:textId="77777777" w:rsidR="00B447D6" w:rsidRPr="006169A9" w:rsidRDefault="00B447D6" w:rsidP="00353498">
            <w:pPr>
              <w:rPr>
                <w:b/>
              </w:rPr>
            </w:pPr>
            <w:r>
              <w:rPr>
                <w:b/>
              </w:rPr>
              <w:t xml:space="preserve">State Examples </w:t>
            </w:r>
          </w:p>
        </w:tc>
        <w:tc>
          <w:tcPr>
            <w:tcW w:w="7758" w:type="dxa"/>
            <w:shd w:val="clear" w:color="auto" w:fill="D5FCFF"/>
            <w:tcMar>
              <w:top w:w="72" w:type="dxa"/>
              <w:left w:w="115" w:type="dxa"/>
              <w:right w:w="115" w:type="dxa"/>
            </w:tcMar>
          </w:tcPr>
          <w:p w14:paraId="1E07F79A" w14:textId="5AD9D233" w:rsidR="00AA621A" w:rsidRDefault="00E227D4" w:rsidP="00353498">
            <w:r w:rsidRPr="00C12763">
              <w:rPr>
                <w:b/>
              </w:rPr>
              <w:t>North Carolina</w:t>
            </w:r>
            <w:r>
              <w:t xml:space="preserve"> is reinventing the local advisory committee structure through its new </w:t>
            </w:r>
            <w:hyperlink r:id="rId64" w:history="1">
              <w:r w:rsidR="00C12763" w:rsidRPr="00C12763">
                <w:rPr>
                  <w:rStyle w:val="Hyperlink"/>
                </w:rPr>
                <w:t>initiative</w:t>
              </w:r>
            </w:hyperlink>
            <w:r>
              <w:t xml:space="preserve"> to develop career pathways through regional alliances of employers, community colleges and K-12 institutions. </w:t>
            </w:r>
            <w:r w:rsidR="00C12763">
              <w:t xml:space="preserve">In fact, as a first step, employers were brought to the table </w:t>
            </w:r>
            <w:r w:rsidR="007565C9">
              <w:t xml:space="preserve">for </w:t>
            </w:r>
            <w:r w:rsidR="00C12763">
              <w:t xml:space="preserve">and serve as integral players in the design and creation of the pathways. </w:t>
            </w:r>
          </w:p>
          <w:p w14:paraId="1CDDDF0C" w14:textId="77777777" w:rsidR="00C12763" w:rsidRPr="00E227D4" w:rsidRDefault="00C12763" w:rsidP="00353498"/>
          <w:p w14:paraId="04256368" w14:textId="363A6E2B" w:rsidR="00B757E3" w:rsidRDefault="00B757E3" w:rsidP="00353498">
            <w:r>
              <w:rPr>
                <w:b/>
              </w:rPr>
              <w:t>Colorado</w:t>
            </w:r>
            <w:r>
              <w:t xml:space="preserve"> developed a comprehensive, web-based toolkit for local advisory committees </w:t>
            </w:r>
            <w:hyperlink r:id="rId65" w:history="1">
              <w:r w:rsidRPr="00B757E3">
                <w:rPr>
                  <w:rStyle w:val="Hyperlink"/>
                </w:rPr>
                <w:t>here</w:t>
              </w:r>
            </w:hyperlink>
            <w:r>
              <w:t>.</w:t>
            </w:r>
          </w:p>
          <w:p w14:paraId="7AA127C2" w14:textId="77777777" w:rsidR="00AA621A" w:rsidRDefault="00AA621A" w:rsidP="00353498"/>
          <w:p w14:paraId="225FDD24" w14:textId="000D13EC" w:rsidR="00B447D6" w:rsidRDefault="00B757E3" w:rsidP="00C12763">
            <w:r>
              <w:rPr>
                <w:b/>
              </w:rPr>
              <w:t>Oregon</w:t>
            </w:r>
            <w:r>
              <w:t xml:space="preserve"> conducted a survey of its local advisory committees to better understand the landscape, gaps and places where the state could help support. Read the report </w:t>
            </w:r>
            <w:hyperlink r:id="rId66" w:history="1">
              <w:r w:rsidRPr="00B757E3">
                <w:rPr>
                  <w:rStyle w:val="Hyperlink"/>
                </w:rPr>
                <w:t>here</w:t>
              </w:r>
            </w:hyperlink>
            <w:r>
              <w:t>.</w:t>
            </w:r>
          </w:p>
          <w:p w14:paraId="10C1F764" w14:textId="77777777" w:rsidR="00C12763" w:rsidRDefault="00C12763" w:rsidP="00C12763"/>
          <w:p w14:paraId="1FFFE1C8" w14:textId="40B03A34" w:rsidR="00C12763" w:rsidRDefault="00C12763" w:rsidP="00C12763">
            <w:r>
              <w:t xml:space="preserve">In 2012, </w:t>
            </w:r>
            <w:r w:rsidRPr="00534E0D">
              <w:rPr>
                <w:b/>
              </w:rPr>
              <w:t>New Jersey</w:t>
            </w:r>
            <w:r>
              <w:t xml:space="preserve"> established its </w:t>
            </w:r>
            <w:hyperlink r:id="rId67" w:history="1">
              <w:r w:rsidRPr="00534E0D">
                <w:rPr>
                  <w:rStyle w:val="Hyperlink"/>
                </w:rPr>
                <w:t>Talent Networks</w:t>
              </w:r>
            </w:hyperlink>
            <w:r>
              <w:t xml:space="preserve"> in seven priority industries to better align industry and education systems. The networks consist of industry experts and are led by colleges, universities and business organizations, and the networks partner with local employers to gather “industry intelligence” and work with the Department of Education, local school districts and community colleges to support secondary and postsecondary CTE programs.</w:t>
            </w:r>
          </w:p>
          <w:p w14:paraId="3A466663" w14:textId="79FAA7AF" w:rsidR="00C12763" w:rsidRPr="00B757E3" w:rsidRDefault="00C12763" w:rsidP="00353498">
            <w:pPr>
              <w:spacing w:after="120"/>
            </w:pPr>
          </w:p>
        </w:tc>
      </w:tr>
    </w:tbl>
    <w:p w14:paraId="64807CBD" w14:textId="77777777" w:rsidR="00B447D6" w:rsidRDefault="00B447D6" w:rsidP="00353498"/>
    <w:p w14:paraId="303E525A" w14:textId="3B695AA8" w:rsidR="00B447D6" w:rsidRPr="00B447D6" w:rsidRDefault="00B447D6" w:rsidP="00353498">
      <w:pPr>
        <w:pStyle w:val="Heading3"/>
        <w:rPr>
          <w:b/>
        </w:rPr>
      </w:pPr>
      <w:bookmarkStart w:id="32" w:name="_Toc511597564"/>
      <w:r w:rsidRPr="002A6387">
        <w:rPr>
          <w:b/>
        </w:rPr>
        <w:t xml:space="preserve">Key Questions:  </w:t>
      </w:r>
      <w:r>
        <w:rPr>
          <w:b/>
        </w:rPr>
        <w:t>Local Advisory Committees</w:t>
      </w:r>
      <w:bookmarkEnd w:id="32"/>
    </w:p>
    <w:p w14:paraId="61EA0B8D" w14:textId="77777777" w:rsidR="00B447D6" w:rsidRPr="00645B9D" w:rsidRDefault="00B447D6" w:rsidP="00353498">
      <w:r>
        <w:t xml:space="preserve">Answer the questions below in the space provided. While these questions are all optional, we encourage you to capture your thoughts here so that you can easily refer back to them. </w:t>
      </w:r>
    </w:p>
    <w:tbl>
      <w:tblPr>
        <w:tblStyle w:val="TableGrid"/>
        <w:tblpPr w:leftFromText="180" w:rightFromText="180" w:vertAnchor="text" w:horzAnchor="page" w:tblpX="1038" w:tblpY="170"/>
        <w:tblW w:w="10255" w:type="dxa"/>
        <w:tblLook w:val="04A0" w:firstRow="1" w:lastRow="0" w:firstColumn="1" w:lastColumn="0" w:noHBand="0" w:noVBand="1"/>
      </w:tblPr>
      <w:tblGrid>
        <w:gridCol w:w="1751"/>
        <w:gridCol w:w="3477"/>
        <w:gridCol w:w="5027"/>
      </w:tblGrid>
      <w:tr w:rsidR="00B447D6" w:rsidRPr="006169A9" w14:paraId="31474E19" w14:textId="77777777" w:rsidTr="009A01C7">
        <w:trPr>
          <w:trHeight w:val="170"/>
          <w:tblHeader/>
        </w:trPr>
        <w:tc>
          <w:tcPr>
            <w:tcW w:w="1751" w:type="dxa"/>
            <w:shd w:val="clear" w:color="auto" w:fill="F2F2F2" w:themeFill="background1" w:themeFillShade="F2"/>
            <w:tcMar>
              <w:top w:w="72" w:type="dxa"/>
              <w:left w:w="115" w:type="dxa"/>
              <w:right w:w="115" w:type="dxa"/>
            </w:tcMar>
            <w:vAlign w:val="center"/>
          </w:tcPr>
          <w:p w14:paraId="6ACA1DA6" w14:textId="77777777" w:rsidR="00B447D6" w:rsidRPr="006169A9" w:rsidRDefault="00B447D6" w:rsidP="00353498">
            <w:pPr>
              <w:pStyle w:val="Heading4"/>
              <w:outlineLvl w:val="3"/>
            </w:pPr>
            <w:r>
              <w:br w:type="page"/>
            </w:r>
          </w:p>
        </w:tc>
        <w:tc>
          <w:tcPr>
            <w:tcW w:w="3477" w:type="dxa"/>
            <w:shd w:val="clear" w:color="auto" w:fill="F2F2F2" w:themeFill="background1" w:themeFillShade="F2"/>
            <w:tcMar>
              <w:top w:w="72" w:type="dxa"/>
              <w:left w:w="115" w:type="dxa"/>
              <w:right w:w="115" w:type="dxa"/>
            </w:tcMar>
          </w:tcPr>
          <w:p w14:paraId="66E06C0D" w14:textId="77777777" w:rsidR="00B447D6" w:rsidRPr="006169A9" w:rsidRDefault="00B447D6" w:rsidP="00353498">
            <w:pPr>
              <w:jc w:val="center"/>
              <w:rPr>
                <w:b/>
                <w:i/>
                <w:sz w:val="24"/>
              </w:rPr>
            </w:pPr>
            <w:r>
              <w:rPr>
                <w:b/>
                <w:i/>
                <w:sz w:val="24"/>
              </w:rPr>
              <w:t>Key Questions</w:t>
            </w:r>
          </w:p>
        </w:tc>
        <w:tc>
          <w:tcPr>
            <w:tcW w:w="5027" w:type="dxa"/>
            <w:shd w:val="clear" w:color="auto" w:fill="F2F2F2" w:themeFill="background1" w:themeFillShade="F2"/>
            <w:tcMar>
              <w:top w:w="72" w:type="dxa"/>
              <w:left w:w="115" w:type="dxa"/>
              <w:right w:w="115" w:type="dxa"/>
            </w:tcMar>
          </w:tcPr>
          <w:p w14:paraId="4A9E2D93" w14:textId="77777777" w:rsidR="00B447D6" w:rsidRDefault="00B447D6" w:rsidP="00353498">
            <w:pPr>
              <w:jc w:val="center"/>
            </w:pPr>
            <w:r w:rsidRPr="00EE58A1">
              <w:rPr>
                <w:b/>
                <w:i/>
                <w:sz w:val="24"/>
              </w:rPr>
              <w:t>State Response</w:t>
            </w:r>
          </w:p>
        </w:tc>
      </w:tr>
      <w:tr w:rsidR="00B447D6" w14:paraId="1728BE2D" w14:textId="77777777" w:rsidTr="009A01C7">
        <w:trPr>
          <w:trHeight w:val="763"/>
          <w:tblHeader/>
        </w:trPr>
        <w:tc>
          <w:tcPr>
            <w:tcW w:w="1751" w:type="dxa"/>
            <w:vMerge w:val="restart"/>
            <w:tcMar>
              <w:top w:w="72" w:type="dxa"/>
              <w:left w:w="115" w:type="dxa"/>
              <w:right w:w="115" w:type="dxa"/>
            </w:tcMar>
            <w:vAlign w:val="center"/>
          </w:tcPr>
          <w:p w14:paraId="178BEBED" w14:textId="317EF186" w:rsidR="00B447D6" w:rsidRPr="00B447D6" w:rsidRDefault="00B447D6" w:rsidP="00353498">
            <w:r>
              <w:rPr>
                <w:b/>
                <w:i/>
                <w:sz w:val="24"/>
              </w:rPr>
              <w:t>Local Advisory Committees</w:t>
            </w:r>
          </w:p>
        </w:tc>
        <w:tc>
          <w:tcPr>
            <w:tcW w:w="3477" w:type="dxa"/>
            <w:tcMar>
              <w:top w:w="72" w:type="dxa"/>
              <w:left w:w="115" w:type="dxa"/>
              <w:right w:w="115" w:type="dxa"/>
            </w:tcMar>
          </w:tcPr>
          <w:p w14:paraId="6DE6AA94" w14:textId="30860F2E" w:rsidR="00B447D6" w:rsidRDefault="00CC5283" w:rsidP="0091743E">
            <w:pPr>
              <w:spacing w:after="120"/>
            </w:pPr>
            <w:r>
              <w:t xml:space="preserve">Think back to the professional development and technical assistance you offer year-round. How </w:t>
            </w:r>
            <w:r w:rsidR="00005281">
              <w:t xml:space="preserve">and in what ways </w:t>
            </w:r>
            <w:r w:rsidR="0091743E">
              <w:t xml:space="preserve">can this be used to help educators strengthen their skills around employer engagement and building strong </w:t>
            </w:r>
            <w:r w:rsidR="00005281">
              <w:t xml:space="preserve">local advisory committees? </w:t>
            </w:r>
            <w:r>
              <w:t xml:space="preserve"> </w:t>
            </w:r>
          </w:p>
        </w:tc>
        <w:tc>
          <w:tcPr>
            <w:tcW w:w="5027" w:type="dxa"/>
            <w:tcMar>
              <w:top w:w="72" w:type="dxa"/>
              <w:left w:w="115" w:type="dxa"/>
              <w:right w:w="115" w:type="dxa"/>
            </w:tcMar>
          </w:tcPr>
          <w:p w14:paraId="452AD48B" w14:textId="77777777" w:rsidR="00B447D6" w:rsidRDefault="00B447D6" w:rsidP="00353498">
            <w:pPr>
              <w:pStyle w:val="Heading4"/>
              <w:outlineLvl w:val="3"/>
            </w:pPr>
          </w:p>
        </w:tc>
      </w:tr>
      <w:tr w:rsidR="00B447D6" w14:paraId="05536D37" w14:textId="77777777" w:rsidTr="009A01C7">
        <w:trPr>
          <w:trHeight w:val="1027"/>
          <w:tblHeader/>
        </w:trPr>
        <w:tc>
          <w:tcPr>
            <w:tcW w:w="1751" w:type="dxa"/>
            <w:vMerge/>
            <w:tcMar>
              <w:top w:w="72" w:type="dxa"/>
              <w:left w:w="115" w:type="dxa"/>
              <w:right w:w="115" w:type="dxa"/>
            </w:tcMar>
          </w:tcPr>
          <w:p w14:paraId="11148A7C" w14:textId="77777777" w:rsidR="00B447D6" w:rsidRPr="006169A9" w:rsidRDefault="00B447D6" w:rsidP="00353498">
            <w:pPr>
              <w:pStyle w:val="Heading4"/>
              <w:outlineLvl w:val="3"/>
            </w:pPr>
          </w:p>
        </w:tc>
        <w:tc>
          <w:tcPr>
            <w:tcW w:w="3477" w:type="dxa"/>
            <w:tcMar>
              <w:top w:w="72" w:type="dxa"/>
              <w:left w:w="115" w:type="dxa"/>
              <w:right w:w="115" w:type="dxa"/>
            </w:tcMar>
          </w:tcPr>
          <w:p w14:paraId="5C116B1F" w14:textId="50F46428" w:rsidR="00B447D6" w:rsidRPr="00C61F41" w:rsidRDefault="00ED4B04" w:rsidP="00ED4B04">
            <w:pPr>
              <w:spacing w:after="120"/>
            </w:pPr>
            <w:r>
              <w:t xml:space="preserve">Does your state have criteria or guidance for what a </w:t>
            </w:r>
            <w:r w:rsidR="00B465F7">
              <w:t xml:space="preserve">high-quality </w:t>
            </w:r>
            <w:r>
              <w:t xml:space="preserve">local </w:t>
            </w:r>
            <w:r w:rsidR="00B465F7">
              <w:t>advisory committee</w:t>
            </w:r>
            <w:r>
              <w:t xml:space="preserve"> looks like and does</w:t>
            </w:r>
            <w:r w:rsidR="00B465F7">
              <w:t>?</w:t>
            </w:r>
          </w:p>
        </w:tc>
        <w:tc>
          <w:tcPr>
            <w:tcW w:w="5027" w:type="dxa"/>
            <w:tcMar>
              <w:top w:w="72" w:type="dxa"/>
              <w:left w:w="115" w:type="dxa"/>
              <w:right w:w="115" w:type="dxa"/>
            </w:tcMar>
          </w:tcPr>
          <w:p w14:paraId="23476752" w14:textId="77777777" w:rsidR="00B447D6" w:rsidRDefault="00B447D6" w:rsidP="00353498">
            <w:pPr>
              <w:pStyle w:val="Heading4"/>
              <w:outlineLvl w:val="3"/>
            </w:pPr>
          </w:p>
        </w:tc>
      </w:tr>
      <w:tr w:rsidR="00B447D6" w14:paraId="485A3070" w14:textId="77777777" w:rsidTr="009A01C7">
        <w:trPr>
          <w:trHeight w:val="1027"/>
          <w:tblHeader/>
        </w:trPr>
        <w:tc>
          <w:tcPr>
            <w:tcW w:w="1751" w:type="dxa"/>
            <w:vMerge/>
            <w:tcMar>
              <w:top w:w="72" w:type="dxa"/>
              <w:left w:w="115" w:type="dxa"/>
              <w:right w:w="115" w:type="dxa"/>
            </w:tcMar>
          </w:tcPr>
          <w:p w14:paraId="6C9181D6" w14:textId="77777777" w:rsidR="00B447D6" w:rsidRPr="006169A9" w:rsidRDefault="00B447D6" w:rsidP="00353498">
            <w:pPr>
              <w:pStyle w:val="Heading4"/>
              <w:outlineLvl w:val="3"/>
            </w:pPr>
          </w:p>
        </w:tc>
        <w:tc>
          <w:tcPr>
            <w:tcW w:w="3477" w:type="dxa"/>
            <w:tcMar>
              <w:top w:w="72" w:type="dxa"/>
              <w:left w:w="115" w:type="dxa"/>
              <w:right w:w="115" w:type="dxa"/>
            </w:tcMar>
          </w:tcPr>
          <w:p w14:paraId="22011F6C" w14:textId="77777777" w:rsidR="00EC209C" w:rsidRDefault="00EC209C" w:rsidP="00EC209C">
            <w:pPr>
              <w:spacing w:after="120"/>
              <w:rPr>
                <w:lang w:val="en-GB"/>
              </w:rPr>
            </w:pPr>
            <w:r>
              <w:rPr>
                <w:lang w:val="en-GB"/>
              </w:rPr>
              <w:t>How do regional initiatives and other employer-led bodies connect with and inform local CTE programs?</w:t>
            </w:r>
          </w:p>
          <w:p w14:paraId="252EEB0D" w14:textId="201F3632" w:rsidR="0091743E" w:rsidRPr="000A57CF" w:rsidRDefault="0091743E" w:rsidP="00EC209C">
            <w:pPr>
              <w:spacing w:after="120"/>
              <w:rPr>
                <w:lang w:val="en-GB"/>
              </w:rPr>
            </w:pPr>
            <w:r>
              <w:rPr>
                <w:lang w:val="en-GB"/>
              </w:rPr>
              <w:t>Do these connections operate separately from local advisory committees or serve to replace them?</w:t>
            </w:r>
          </w:p>
        </w:tc>
        <w:tc>
          <w:tcPr>
            <w:tcW w:w="5027" w:type="dxa"/>
            <w:tcMar>
              <w:top w:w="72" w:type="dxa"/>
              <w:left w:w="115" w:type="dxa"/>
              <w:right w:w="115" w:type="dxa"/>
            </w:tcMar>
          </w:tcPr>
          <w:p w14:paraId="13FC1264" w14:textId="77777777" w:rsidR="00B447D6" w:rsidRDefault="00B447D6" w:rsidP="00353498">
            <w:pPr>
              <w:pStyle w:val="Heading4"/>
              <w:outlineLvl w:val="3"/>
            </w:pPr>
          </w:p>
        </w:tc>
      </w:tr>
    </w:tbl>
    <w:p w14:paraId="49E6415C" w14:textId="77777777" w:rsidR="00B447D6" w:rsidRDefault="00B447D6" w:rsidP="00353498">
      <w:pPr>
        <w:spacing w:after="160"/>
        <w:rPr>
          <w:rFonts w:eastAsiaTheme="majorEastAsia" w:cstheme="majorBidi"/>
          <w:b/>
          <w:color w:val="FF6D14"/>
          <w:sz w:val="24"/>
          <w:szCs w:val="26"/>
        </w:rPr>
      </w:pPr>
    </w:p>
    <w:p w14:paraId="7E0359C3" w14:textId="77777777" w:rsidR="00603B6D" w:rsidRDefault="00603B6D">
      <w:pPr>
        <w:spacing w:after="160" w:line="259" w:lineRule="auto"/>
        <w:rPr>
          <w:rFonts w:eastAsiaTheme="majorEastAsia" w:cstheme="majorBidi"/>
          <w:b/>
          <w:i/>
          <w:color w:val="FF6D14"/>
          <w:sz w:val="24"/>
          <w:szCs w:val="26"/>
          <w:lang w:val="en-GB"/>
        </w:rPr>
      </w:pPr>
      <w:r>
        <w:rPr>
          <w:lang w:val="en-GB"/>
        </w:rPr>
        <w:br w:type="page"/>
      </w:r>
    </w:p>
    <w:p w14:paraId="21F474B7" w14:textId="1464E71F" w:rsidR="00B447D6" w:rsidRDefault="00B447D6" w:rsidP="00353498">
      <w:pPr>
        <w:pStyle w:val="Heading2"/>
        <w:rPr>
          <w:lang w:val="en-GB"/>
        </w:rPr>
      </w:pPr>
      <w:bookmarkStart w:id="33" w:name="_Toc511597565"/>
      <w:r>
        <w:rPr>
          <w:lang w:val="en-GB"/>
        </w:rPr>
        <w:lastRenderedPageBreak/>
        <w:t>Section 3: Cultivating CTE Champions</w:t>
      </w:r>
      <w:bookmarkEnd w:id="33"/>
    </w:p>
    <w:p w14:paraId="3A2E4EF9" w14:textId="7EF7ED05" w:rsidR="00B447D6" w:rsidRDefault="008E6D44" w:rsidP="00353498">
      <w:pPr>
        <w:rPr>
          <w:lang w:val="en-GB"/>
        </w:rPr>
      </w:pPr>
      <w:r>
        <w:rPr>
          <w:lang w:val="en-GB"/>
        </w:rPr>
        <w:t xml:space="preserve">Employers who engage with CTE at the state and local levels can be your greatest advocates and champions. Learning how to leverage these champions on your behalf </w:t>
      </w:r>
      <w:r w:rsidR="00C43B62">
        <w:rPr>
          <w:lang w:val="en-GB"/>
        </w:rPr>
        <w:t>can be a powerful tool.</w:t>
      </w:r>
    </w:p>
    <w:p w14:paraId="1D986CAB" w14:textId="77777777" w:rsidR="00B447D6" w:rsidRPr="00B447D6" w:rsidRDefault="00B447D6" w:rsidP="00353498">
      <w:pPr>
        <w:rPr>
          <w:lang w:val="en-GB"/>
        </w:rPr>
      </w:pPr>
    </w:p>
    <w:p w14:paraId="7B8D9729" w14:textId="1D670ED5" w:rsidR="00B447D6" w:rsidRPr="00B447D6" w:rsidRDefault="00B447D6" w:rsidP="00353498">
      <w:pPr>
        <w:pStyle w:val="Heading3"/>
        <w:rPr>
          <w:b/>
        </w:rPr>
      </w:pPr>
      <w:bookmarkStart w:id="34" w:name="_Toc511597566"/>
      <w:r>
        <w:rPr>
          <w:b/>
        </w:rPr>
        <w:t>Cultivating CTE Champions</w:t>
      </w:r>
      <w:bookmarkEnd w:id="34"/>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1710"/>
        <w:gridCol w:w="7758"/>
      </w:tblGrid>
      <w:tr w:rsidR="00B447D6" w14:paraId="2C5A15F1" w14:textId="77777777" w:rsidTr="009A01C7">
        <w:trPr>
          <w:trHeight w:val="49"/>
        </w:trPr>
        <w:tc>
          <w:tcPr>
            <w:tcW w:w="1710" w:type="dxa"/>
            <w:shd w:val="clear" w:color="auto" w:fill="F2F2F2" w:themeFill="background1" w:themeFillShade="F2"/>
            <w:tcMar>
              <w:top w:w="72" w:type="dxa"/>
              <w:left w:w="115" w:type="dxa"/>
              <w:right w:w="115" w:type="dxa"/>
            </w:tcMar>
          </w:tcPr>
          <w:p w14:paraId="01ED0532" w14:textId="77777777" w:rsidR="00B447D6" w:rsidRPr="006169A9" w:rsidRDefault="00B447D6" w:rsidP="00353498">
            <w:pPr>
              <w:rPr>
                <w:b/>
              </w:rPr>
            </w:pPr>
            <w:r>
              <w:rPr>
                <w:b/>
              </w:rPr>
              <w:t>Options &amp; Opportunities</w:t>
            </w:r>
          </w:p>
        </w:tc>
        <w:tc>
          <w:tcPr>
            <w:tcW w:w="7758" w:type="dxa"/>
            <w:shd w:val="clear" w:color="auto" w:fill="F2F2F2" w:themeFill="background1" w:themeFillShade="F2"/>
            <w:tcMar>
              <w:top w:w="72" w:type="dxa"/>
              <w:left w:w="115" w:type="dxa"/>
              <w:right w:w="115" w:type="dxa"/>
            </w:tcMar>
          </w:tcPr>
          <w:p w14:paraId="3D3477B3" w14:textId="766306D3" w:rsidR="00C43B62" w:rsidRDefault="00C43B62" w:rsidP="00353498">
            <w:r>
              <w:t>As a state leader, you may interact with some of your state’s largest or most influential employers through your state workforce board, Chamber of Commerce or industry association</w:t>
            </w:r>
            <w:r w:rsidR="00B465F7">
              <w:t>s</w:t>
            </w:r>
            <w:r>
              <w:t>. Yet, turning these employers into champions for your vision for CTE may require some strategy</w:t>
            </w:r>
            <w:r w:rsidR="00B465F7">
              <w:t xml:space="preserve"> or structure</w:t>
            </w:r>
            <w:r>
              <w:t xml:space="preserve">. </w:t>
            </w:r>
          </w:p>
          <w:p w14:paraId="18E9EE83" w14:textId="77777777" w:rsidR="00B465F7" w:rsidRDefault="00B465F7" w:rsidP="00353498"/>
          <w:p w14:paraId="08B2F2D9" w14:textId="77777777" w:rsidR="00B855BF" w:rsidRDefault="00B465F7" w:rsidP="00353498">
            <w:r>
              <w:t xml:space="preserve">By recruiting employer champions, you can </w:t>
            </w:r>
            <w:r w:rsidR="00B855BF">
              <w:t xml:space="preserve">leverage their voice and input at the state and local levels, </w:t>
            </w:r>
            <w:r>
              <w:t xml:space="preserve">encourage them to use their bully pulpit with other advocates and policymakers, </w:t>
            </w:r>
            <w:r w:rsidR="00B855BF">
              <w:t>and, perhaps most importantly, leverage those champions to further recruit more employers to engage in the CTE system.</w:t>
            </w:r>
          </w:p>
          <w:p w14:paraId="3128150D" w14:textId="77777777" w:rsidR="00B855BF" w:rsidRDefault="00B855BF" w:rsidP="00353498"/>
          <w:p w14:paraId="616FD4CE" w14:textId="2983A7A8" w:rsidR="00B465F7" w:rsidRDefault="00B855BF" w:rsidP="00353498">
            <w:r>
              <w:t xml:space="preserve">There are a number of ways states can cultivate and recruit these champions, including inviting them to serve on statewide advisory committees, participate in CTE site visits or serve as judges at state CTSO competitions.  </w:t>
            </w:r>
          </w:p>
          <w:p w14:paraId="5C239E03" w14:textId="77777777" w:rsidR="00B465F7" w:rsidRDefault="00B465F7" w:rsidP="00B465F7"/>
          <w:p w14:paraId="6A64FA33" w14:textId="330AFD6E" w:rsidR="00B465F7" w:rsidRDefault="00B855BF" w:rsidP="00B465F7">
            <w:r>
              <w:t>But just recruiting champions may not be enough - r</w:t>
            </w:r>
            <w:r w:rsidR="00B465F7">
              <w:t xml:space="preserve">ecognizing these employers for their support is also important. Some states have developed awards programs where they will recognize employers for a range of activities and contributions toward their state CTE system. </w:t>
            </w:r>
          </w:p>
          <w:p w14:paraId="24C9BD04" w14:textId="77777777" w:rsidR="00B465F7" w:rsidRDefault="00B465F7" w:rsidP="00B465F7"/>
          <w:p w14:paraId="79D0DF6D" w14:textId="5BC0C7A8" w:rsidR="00BA3DA7" w:rsidRDefault="00B465F7" w:rsidP="00353498">
            <w:r>
              <w:t xml:space="preserve">One key point to remember: </w:t>
            </w:r>
            <w:r w:rsidR="00C43B62">
              <w:t>though many employers often see the value of CTE, the way in which they talk about and promote CTE may actually be counterproductive. Building relatio</w:t>
            </w:r>
            <w:r w:rsidR="00E5633C">
              <w:t xml:space="preserve">nships with these employers means learning to speak their language and demonstrating how your state’s CTE programs are working to meet their needs. </w:t>
            </w:r>
          </w:p>
          <w:p w14:paraId="09992800" w14:textId="77777777" w:rsidR="00BA3DA7" w:rsidRDefault="00BA3DA7" w:rsidP="00353498"/>
          <w:p w14:paraId="0B6C72B4" w14:textId="77777777" w:rsidR="00BA3DA7" w:rsidRDefault="00BA3DA7" w:rsidP="00353498">
            <w:r>
              <w:t xml:space="preserve">Check out these Advance CTE resources to help learn the language of business and industry: </w:t>
            </w:r>
          </w:p>
          <w:p w14:paraId="017180A9" w14:textId="77777777" w:rsidR="00BA3DA7" w:rsidRPr="00A00144" w:rsidRDefault="00437D23" w:rsidP="00353498">
            <w:pPr>
              <w:pStyle w:val="ListParagraph"/>
              <w:numPr>
                <w:ilvl w:val="0"/>
                <w:numId w:val="3"/>
              </w:numPr>
              <w:rPr>
                <w:i/>
              </w:rPr>
            </w:pPr>
            <w:hyperlink r:id="rId68" w:history="1">
              <w:r w:rsidR="00BA3DA7" w:rsidRPr="00A00144">
                <w:rPr>
                  <w:rStyle w:val="Hyperlink"/>
                  <w:i/>
                </w:rPr>
                <w:t>In Their Words: Why Business Leaders Support CTE, Career Pathways and Career Academies</w:t>
              </w:r>
            </w:hyperlink>
          </w:p>
          <w:p w14:paraId="691CFCCD" w14:textId="63121A5E" w:rsidR="00BA3DA7" w:rsidRPr="00A00144" w:rsidRDefault="00437D23" w:rsidP="00353498">
            <w:pPr>
              <w:pStyle w:val="ListParagraph"/>
              <w:numPr>
                <w:ilvl w:val="0"/>
                <w:numId w:val="3"/>
              </w:numPr>
              <w:rPr>
                <w:i/>
              </w:rPr>
            </w:pPr>
            <w:hyperlink r:id="rId69" w:history="1">
              <w:r w:rsidR="00BA3DA7" w:rsidRPr="00A00144">
                <w:rPr>
                  <w:rStyle w:val="Hyperlink"/>
                  <w:i/>
                </w:rPr>
                <w:t>Putting Real-World Skills to Work: An Employer Guide for Making the Case for CTE</w:t>
              </w:r>
            </w:hyperlink>
          </w:p>
          <w:p w14:paraId="7A445FB7" w14:textId="6AC8F5BC" w:rsidR="00BA3DA7" w:rsidRPr="00A00144" w:rsidRDefault="00437D23" w:rsidP="00353498">
            <w:pPr>
              <w:pStyle w:val="ListParagraph"/>
              <w:numPr>
                <w:ilvl w:val="0"/>
                <w:numId w:val="3"/>
              </w:numPr>
              <w:rPr>
                <w:i/>
              </w:rPr>
            </w:pPr>
            <w:hyperlink r:id="rId70" w:history="1">
              <w:r w:rsidR="00BA3DA7" w:rsidRPr="00A00144">
                <w:rPr>
                  <w:rStyle w:val="Hyperlink"/>
                  <w:i/>
                </w:rPr>
                <w:t>Making a Winning Case for CTE: How State Leaders Can Put This Research to Work</w:t>
              </w:r>
            </w:hyperlink>
          </w:p>
          <w:p w14:paraId="7CED0808" w14:textId="4E1458C3" w:rsidR="00BA3DA7" w:rsidRPr="00BF67C8" w:rsidRDefault="00BA3DA7" w:rsidP="00353498"/>
        </w:tc>
      </w:tr>
      <w:tr w:rsidR="00B447D6" w14:paraId="0A576B7C" w14:textId="77777777" w:rsidTr="009A01C7">
        <w:trPr>
          <w:trHeight w:val="609"/>
        </w:trPr>
        <w:tc>
          <w:tcPr>
            <w:tcW w:w="1710" w:type="dxa"/>
            <w:shd w:val="clear" w:color="auto" w:fill="D5FCFF"/>
            <w:tcMar>
              <w:top w:w="72" w:type="dxa"/>
              <w:left w:w="115" w:type="dxa"/>
              <w:right w:w="115" w:type="dxa"/>
            </w:tcMar>
          </w:tcPr>
          <w:p w14:paraId="170892D9" w14:textId="541B2A06" w:rsidR="00B447D6" w:rsidRPr="006169A9" w:rsidRDefault="00B447D6" w:rsidP="00353498">
            <w:pPr>
              <w:rPr>
                <w:b/>
              </w:rPr>
            </w:pPr>
            <w:r>
              <w:rPr>
                <w:b/>
              </w:rPr>
              <w:t xml:space="preserve">State Examples </w:t>
            </w:r>
          </w:p>
        </w:tc>
        <w:tc>
          <w:tcPr>
            <w:tcW w:w="7758" w:type="dxa"/>
            <w:shd w:val="clear" w:color="auto" w:fill="D5FCFF"/>
            <w:tcMar>
              <w:top w:w="72" w:type="dxa"/>
              <w:left w:w="115" w:type="dxa"/>
              <w:right w:w="115" w:type="dxa"/>
            </w:tcMar>
          </w:tcPr>
          <w:p w14:paraId="414CB292" w14:textId="330D3C92" w:rsidR="00BA3DA7" w:rsidRDefault="00233E56" w:rsidP="00B855BF">
            <w:r>
              <w:t xml:space="preserve">The </w:t>
            </w:r>
            <w:r w:rsidRPr="00233E56">
              <w:rPr>
                <w:b/>
              </w:rPr>
              <w:t>Kansas</w:t>
            </w:r>
            <w:r>
              <w:t xml:space="preserve"> Board of Regents’ </w:t>
            </w:r>
            <w:hyperlink r:id="rId71" w:history="1">
              <w:r w:rsidRPr="00233E56">
                <w:rPr>
                  <w:rStyle w:val="Hyperlink"/>
                </w:rPr>
                <w:t>Employer Engagement Initiative</w:t>
              </w:r>
            </w:hyperlink>
            <w:r>
              <w:t xml:space="preserve"> allows the state’s technical and community colleges to nominate key employer supporters for recognition. The initiative has three tiers – Champion, Partner and Supporter – and </w:t>
            </w:r>
            <w:r w:rsidR="00346922">
              <w:t>has recognized nearly 350 employers across the state. Qualifying a</w:t>
            </w:r>
            <w:r>
              <w:t>ctivities range from prioritizing residents with credentials for hiring and offering internships for students or faculty to participating in career fairs and general advocacy. Colleges nominate the employers using set criteria and the Board of Regents will send a certificate and post the employer’s name on its website.</w:t>
            </w:r>
          </w:p>
          <w:p w14:paraId="47A92733" w14:textId="77777777" w:rsidR="00B855BF" w:rsidRDefault="00B855BF" w:rsidP="00B855BF"/>
          <w:p w14:paraId="1DD96C6E" w14:textId="6A4183E8" w:rsidR="00346922" w:rsidRDefault="00346922" w:rsidP="00B855BF">
            <w:r w:rsidRPr="00C12763">
              <w:rPr>
                <w:b/>
              </w:rPr>
              <w:t>Alabama</w:t>
            </w:r>
            <w:r>
              <w:t xml:space="preserve"> was able to develop deep relationships with the state’s leading employers, who in turn used their influence to lobby the state legislature to pass </w:t>
            </w:r>
            <w:r>
              <w:lastRenderedPageBreak/>
              <w:t xml:space="preserve">the </w:t>
            </w:r>
            <w:hyperlink r:id="rId72" w:history="1">
              <w:r w:rsidRPr="00346922">
                <w:rPr>
                  <w:rStyle w:val="Hyperlink"/>
                </w:rPr>
                <w:t>21</w:t>
              </w:r>
              <w:r w:rsidRPr="00346922">
                <w:rPr>
                  <w:rStyle w:val="Hyperlink"/>
                  <w:vertAlign w:val="superscript"/>
                </w:rPr>
                <w:t>st</w:t>
              </w:r>
              <w:r w:rsidRPr="00346922">
                <w:rPr>
                  <w:rStyle w:val="Hyperlink"/>
                </w:rPr>
                <w:t xml:space="preserve"> Century Workforce Act</w:t>
              </w:r>
            </w:hyperlink>
            <w:r>
              <w:t xml:space="preserve"> in 2013. The bond initiative directed $50 million to transform Alabama’s CTE programs to align with the state’s in-demand industries. </w:t>
            </w:r>
          </w:p>
          <w:p w14:paraId="3F5198E2" w14:textId="77777777" w:rsidR="00B855BF" w:rsidRDefault="00B855BF" w:rsidP="00B855BF"/>
          <w:p w14:paraId="78FA1F32" w14:textId="7F2152B6" w:rsidR="00E07FA2" w:rsidRDefault="00E07FA2" w:rsidP="00E07FA2">
            <w:pPr>
              <w:contextualSpacing/>
            </w:pPr>
            <w:r w:rsidRPr="00E07FA2">
              <w:t xml:space="preserve">Through the </w:t>
            </w:r>
            <w:hyperlink r:id="rId73" w:history="1">
              <w:r w:rsidRPr="00C257A1">
                <w:rPr>
                  <w:rStyle w:val="Hyperlink"/>
                </w:rPr>
                <w:t>Business Friends of Education</w:t>
              </w:r>
            </w:hyperlink>
            <w:r w:rsidRPr="00C257A1">
              <w:t xml:space="preserve"> (BFoE) program</w:t>
            </w:r>
            <w:r w:rsidRPr="00E07FA2">
              <w:t xml:space="preserve">, a statewide recognition and award program for employers, </w:t>
            </w:r>
            <w:r w:rsidRPr="00C257A1">
              <w:rPr>
                <w:b/>
              </w:rPr>
              <w:t>Wisconsin</w:t>
            </w:r>
            <w:r w:rsidRPr="00E07FA2">
              <w:t xml:space="preserve"> is incentivizing businesses to participate in local career development initiatives. Businesses can apply or be nominated for BFoE recognition if they’ve partnered with local school districts to provide opportunities for career development, volunteering or training, mentoring, and work-based learning. They can also be recognized for providing schools with services, materials, or supplies. </w:t>
            </w:r>
            <w:r>
              <w:t>To encourage continued engagement, the Wisconsin Department of Education plans to develop supports—</w:t>
            </w:r>
            <w:r w:rsidRPr="00837D54">
              <w:t xml:space="preserve">including a </w:t>
            </w:r>
            <w:r w:rsidR="00C257A1">
              <w:t>communications</w:t>
            </w:r>
            <w:r>
              <w:t xml:space="preserve"> toolkit for engaging schools—for BFoE recipients</w:t>
            </w:r>
            <w:r w:rsidRPr="00837D54">
              <w:t xml:space="preserve">. </w:t>
            </w:r>
            <w:r>
              <w:t>The state has set a g</w:t>
            </w:r>
            <w:r w:rsidRPr="00837D54">
              <w:t xml:space="preserve">oal is to recognize 250 </w:t>
            </w:r>
            <w:r>
              <w:t xml:space="preserve">BFoEs </w:t>
            </w:r>
            <w:r w:rsidRPr="00837D54">
              <w:t>by</w:t>
            </w:r>
            <w:r>
              <w:t xml:space="preserve"> the</w:t>
            </w:r>
            <w:r w:rsidRPr="00837D54">
              <w:t xml:space="preserve"> end of 2019</w:t>
            </w:r>
            <w:r>
              <w:t xml:space="preserve">. </w:t>
            </w:r>
          </w:p>
          <w:p w14:paraId="3EF64F92" w14:textId="77777777" w:rsidR="00B447D6" w:rsidRDefault="00B447D6" w:rsidP="00353498">
            <w:pPr>
              <w:spacing w:after="120"/>
            </w:pPr>
          </w:p>
        </w:tc>
      </w:tr>
    </w:tbl>
    <w:p w14:paraId="56C3268C" w14:textId="77777777" w:rsidR="00B447D6" w:rsidRDefault="00B447D6" w:rsidP="00353498"/>
    <w:p w14:paraId="17AAB309" w14:textId="39D467AD" w:rsidR="00B447D6" w:rsidRPr="00B447D6" w:rsidRDefault="00B447D6" w:rsidP="00353498">
      <w:pPr>
        <w:pStyle w:val="Heading3"/>
        <w:rPr>
          <w:b/>
        </w:rPr>
      </w:pPr>
      <w:bookmarkStart w:id="35" w:name="_Toc511597567"/>
      <w:r w:rsidRPr="002A6387">
        <w:rPr>
          <w:b/>
        </w:rPr>
        <w:t xml:space="preserve">Key Questions:  </w:t>
      </w:r>
      <w:r>
        <w:rPr>
          <w:b/>
        </w:rPr>
        <w:t>Cultivating CTE Champions</w:t>
      </w:r>
      <w:bookmarkEnd w:id="35"/>
    </w:p>
    <w:p w14:paraId="0AA32282" w14:textId="77777777" w:rsidR="00B447D6" w:rsidRPr="00645B9D" w:rsidRDefault="00B447D6" w:rsidP="00353498">
      <w:r>
        <w:t xml:space="preserve">Answer the questions below in the space provided. While these questions are all optional, we encourage you to capture your thoughts here so that you can easily refer back to them. </w:t>
      </w:r>
    </w:p>
    <w:tbl>
      <w:tblPr>
        <w:tblStyle w:val="TableGrid"/>
        <w:tblpPr w:leftFromText="180" w:rightFromText="180" w:vertAnchor="text" w:horzAnchor="page" w:tblpX="1038" w:tblpY="170"/>
        <w:tblW w:w="10255" w:type="dxa"/>
        <w:tblLook w:val="04A0" w:firstRow="1" w:lastRow="0" w:firstColumn="1" w:lastColumn="0" w:noHBand="0" w:noVBand="1"/>
      </w:tblPr>
      <w:tblGrid>
        <w:gridCol w:w="1751"/>
        <w:gridCol w:w="3477"/>
        <w:gridCol w:w="5027"/>
      </w:tblGrid>
      <w:tr w:rsidR="00B447D6" w:rsidRPr="006169A9" w14:paraId="458F0253" w14:textId="77777777" w:rsidTr="009A01C7">
        <w:trPr>
          <w:trHeight w:val="170"/>
          <w:tblHeader/>
        </w:trPr>
        <w:tc>
          <w:tcPr>
            <w:tcW w:w="1751" w:type="dxa"/>
            <w:shd w:val="clear" w:color="auto" w:fill="F2F2F2" w:themeFill="background1" w:themeFillShade="F2"/>
            <w:tcMar>
              <w:top w:w="72" w:type="dxa"/>
              <w:left w:w="115" w:type="dxa"/>
              <w:right w:w="115" w:type="dxa"/>
            </w:tcMar>
            <w:vAlign w:val="center"/>
          </w:tcPr>
          <w:p w14:paraId="2F6F9E95" w14:textId="77777777" w:rsidR="00B447D6" w:rsidRPr="006169A9" w:rsidRDefault="00B447D6" w:rsidP="00353498">
            <w:pPr>
              <w:pStyle w:val="Heading4"/>
              <w:outlineLvl w:val="3"/>
            </w:pPr>
            <w:r>
              <w:br w:type="page"/>
            </w:r>
          </w:p>
        </w:tc>
        <w:tc>
          <w:tcPr>
            <w:tcW w:w="3477" w:type="dxa"/>
            <w:shd w:val="clear" w:color="auto" w:fill="F2F2F2" w:themeFill="background1" w:themeFillShade="F2"/>
            <w:tcMar>
              <w:top w:w="72" w:type="dxa"/>
              <w:left w:w="115" w:type="dxa"/>
              <w:right w:w="115" w:type="dxa"/>
            </w:tcMar>
          </w:tcPr>
          <w:p w14:paraId="68238D4C" w14:textId="77777777" w:rsidR="00B447D6" w:rsidRPr="006169A9" w:rsidRDefault="00B447D6" w:rsidP="00353498">
            <w:pPr>
              <w:jc w:val="center"/>
              <w:rPr>
                <w:b/>
                <w:i/>
                <w:sz w:val="24"/>
              </w:rPr>
            </w:pPr>
            <w:r>
              <w:rPr>
                <w:b/>
                <w:i/>
                <w:sz w:val="24"/>
              </w:rPr>
              <w:t>Key Questions</w:t>
            </w:r>
          </w:p>
        </w:tc>
        <w:tc>
          <w:tcPr>
            <w:tcW w:w="5027" w:type="dxa"/>
            <w:shd w:val="clear" w:color="auto" w:fill="F2F2F2" w:themeFill="background1" w:themeFillShade="F2"/>
            <w:tcMar>
              <w:top w:w="72" w:type="dxa"/>
              <w:left w:w="115" w:type="dxa"/>
              <w:right w:w="115" w:type="dxa"/>
            </w:tcMar>
          </w:tcPr>
          <w:p w14:paraId="36F08E47" w14:textId="77777777" w:rsidR="00B447D6" w:rsidRDefault="00B447D6" w:rsidP="00353498">
            <w:pPr>
              <w:jc w:val="center"/>
            </w:pPr>
            <w:r w:rsidRPr="00EE58A1">
              <w:rPr>
                <w:b/>
                <w:i/>
                <w:sz w:val="24"/>
              </w:rPr>
              <w:t>State Response</w:t>
            </w:r>
          </w:p>
        </w:tc>
      </w:tr>
      <w:tr w:rsidR="00B447D6" w14:paraId="75272DB7" w14:textId="77777777" w:rsidTr="009A01C7">
        <w:trPr>
          <w:trHeight w:val="763"/>
          <w:tblHeader/>
        </w:trPr>
        <w:tc>
          <w:tcPr>
            <w:tcW w:w="1751" w:type="dxa"/>
            <w:vMerge w:val="restart"/>
            <w:tcMar>
              <w:top w:w="72" w:type="dxa"/>
              <w:left w:w="115" w:type="dxa"/>
              <w:right w:w="115" w:type="dxa"/>
            </w:tcMar>
            <w:vAlign w:val="center"/>
          </w:tcPr>
          <w:p w14:paraId="1A58FD66" w14:textId="49294D5A" w:rsidR="00B447D6" w:rsidRPr="00B447D6" w:rsidRDefault="00B447D6" w:rsidP="00353498">
            <w:r>
              <w:rPr>
                <w:b/>
                <w:i/>
                <w:sz w:val="24"/>
              </w:rPr>
              <w:t>Cultivating CTE Champions</w:t>
            </w:r>
          </w:p>
        </w:tc>
        <w:tc>
          <w:tcPr>
            <w:tcW w:w="3477" w:type="dxa"/>
            <w:tcMar>
              <w:top w:w="72" w:type="dxa"/>
              <w:left w:w="115" w:type="dxa"/>
              <w:right w:w="115" w:type="dxa"/>
            </w:tcMar>
          </w:tcPr>
          <w:p w14:paraId="62FE0453" w14:textId="3862E946" w:rsidR="00B447D6" w:rsidRDefault="00B855BF" w:rsidP="00353498">
            <w:pPr>
              <w:spacing w:after="120"/>
            </w:pPr>
            <w:r>
              <w:t>Do you have any formal programs to recognize particularly active employers or industry partners? What would it take to create such a program?</w:t>
            </w:r>
          </w:p>
        </w:tc>
        <w:tc>
          <w:tcPr>
            <w:tcW w:w="5027" w:type="dxa"/>
            <w:tcMar>
              <w:top w:w="72" w:type="dxa"/>
              <w:left w:w="115" w:type="dxa"/>
              <w:right w:w="115" w:type="dxa"/>
            </w:tcMar>
          </w:tcPr>
          <w:p w14:paraId="45F8CEED" w14:textId="77777777" w:rsidR="00B447D6" w:rsidRDefault="00B447D6" w:rsidP="00353498">
            <w:pPr>
              <w:pStyle w:val="Heading4"/>
              <w:outlineLvl w:val="3"/>
            </w:pPr>
          </w:p>
        </w:tc>
      </w:tr>
      <w:tr w:rsidR="00B447D6" w14:paraId="495EBBD8" w14:textId="77777777" w:rsidTr="009A01C7">
        <w:trPr>
          <w:trHeight w:val="1027"/>
          <w:tblHeader/>
        </w:trPr>
        <w:tc>
          <w:tcPr>
            <w:tcW w:w="1751" w:type="dxa"/>
            <w:vMerge/>
            <w:tcMar>
              <w:top w:w="72" w:type="dxa"/>
              <w:left w:w="115" w:type="dxa"/>
              <w:right w:w="115" w:type="dxa"/>
            </w:tcMar>
          </w:tcPr>
          <w:p w14:paraId="7B11BA97" w14:textId="77777777" w:rsidR="00B447D6" w:rsidRPr="006169A9" w:rsidRDefault="00B447D6" w:rsidP="00353498">
            <w:pPr>
              <w:pStyle w:val="Heading4"/>
              <w:outlineLvl w:val="3"/>
            </w:pPr>
          </w:p>
        </w:tc>
        <w:tc>
          <w:tcPr>
            <w:tcW w:w="3477" w:type="dxa"/>
            <w:tcMar>
              <w:top w:w="72" w:type="dxa"/>
              <w:left w:w="115" w:type="dxa"/>
              <w:right w:w="115" w:type="dxa"/>
            </w:tcMar>
          </w:tcPr>
          <w:p w14:paraId="72302F75" w14:textId="3859499D" w:rsidR="00B447D6" w:rsidRPr="00C61F41" w:rsidRDefault="00B855BF" w:rsidP="00353498">
            <w:pPr>
              <w:spacing w:after="120"/>
            </w:pPr>
            <w:r>
              <w:t>Can you identify your top 10 employer partners? What makes them stand out? What would it take for them to recruit 10 more?</w:t>
            </w:r>
          </w:p>
        </w:tc>
        <w:tc>
          <w:tcPr>
            <w:tcW w:w="5027" w:type="dxa"/>
            <w:tcMar>
              <w:top w:w="72" w:type="dxa"/>
              <w:left w:w="115" w:type="dxa"/>
              <w:right w:w="115" w:type="dxa"/>
            </w:tcMar>
          </w:tcPr>
          <w:p w14:paraId="3D999E67" w14:textId="77777777" w:rsidR="00B447D6" w:rsidRDefault="00B447D6" w:rsidP="00353498">
            <w:pPr>
              <w:pStyle w:val="Heading4"/>
              <w:outlineLvl w:val="3"/>
            </w:pPr>
          </w:p>
        </w:tc>
      </w:tr>
      <w:tr w:rsidR="00B447D6" w14:paraId="31F24793" w14:textId="77777777" w:rsidTr="009A01C7">
        <w:trPr>
          <w:trHeight w:val="1027"/>
          <w:tblHeader/>
        </w:trPr>
        <w:tc>
          <w:tcPr>
            <w:tcW w:w="1751" w:type="dxa"/>
            <w:vMerge/>
            <w:tcMar>
              <w:top w:w="72" w:type="dxa"/>
              <w:left w:w="115" w:type="dxa"/>
              <w:right w:w="115" w:type="dxa"/>
            </w:tcMar>
          </w:tcPr>
          <w:p w14:paraId="525932EC" w14:textId="77777777" w:rsidR="00B447D6" w:rsidRPr="006169A9" w:rsidRDefault="00B447D6" w:rsidP="00353498">
            <w:pPr>
              <w:pStyle w:val="Heading4"/>
              <w:outlineLvl w:val="3"/>
            </w:pPr>
          </w:p>
        </w:tc>
        <w:tc>
          <w:tcPr>
            <w:tcW w:w="3477" w:type="dxa"/>
            <w:tcMar>
              <w:top w:w="72" w:type="dxa"/>
              <w:left w:w="115" w:type="dxa"/>
              <w:right w:w="115" w:type="dxa"/>
            </w:tcMar>
          </w:tcPr>
          <w:p w14:paraId="43035F53" w14:textId="00341F10" w:rsidR="00B447D6" w:rsidRPr="000A57CF" w:rsidRDefault="00B855BF" w:rsidP="00353498">
            <w:pPr>
              <w:spacing w:after="120"/>
              <w:rPr>
                <w:lang w:val="en-GB"/>
              </w:rPr>
            </w:pPr>
            <w:r>
              <w:rPr>
                <w:lang w:val="en-GB"/>
              </w:rPr>
              <w:t>Does the state provide site visits or other tour opportunities for employers or policymakers?</w:t>
            </w:r>
          </w:p>
        </w:tc>
        <w:tc>
          <w:tcPr>
            <w:tcW w:w="5027" w:type="dxa"/>
            <w:tcMar>
              <w:top w:w="72" w:type="dxa"/>
              <w:left w:w="115" w:type="dxa"/>
              <w:right w:w="115" w:type="dxa"/>
            </w:tcMar>
          </w:tcPr>
          <w:p w14:paraId="736CD9F3" w14:textId="77777777" w:rsidR="00B447D6" w:rsidRDefault="00B447D6" w:rsidP="00353498">
            <w:pPr>
              <w:pStyle w:val="Heading4"/>
              <w:outlineLvl w:val="3"/>
            </w:pPr>
          </w:p>
        </w:tc>
      </w:tr>
    </w:tbl>
    <w:p w14:paraId="6CD0CCB2" w14:textId="77777777" w:rsidR="00B447D6" w:rsidRDefault="00B447D6" w:rsidP="00353498">
      <w:pPr>
        <w:spacing w:after="160"/>
        <w:rPr>
          <w:rFonts w:eastAsiaTheme="majorEastAsia" w:cstheme="majorBidi"/>
          <w:b/>
          <w:color w:val="FF6D14"/>
          <w:sz w:val="24"/>
          <w:szCs w:val="26"/>
        </w:rPr>
      </w:pPr>
    </w:p>
    <w:p w14:paraId="50895886" w14:textId="77777777" w:rsidR="00B447D6" w:rsidRDefault="00B447D6" w:rsidP="00353498">
      <w:pPr>
        <w:spacing w:after="160"/>
        <w:rPr>
          <w:rFonts w:eastAsiaTheme="majorEastAsia" w:cstheme="majorBidi"/>
          <w:b/>
          <w:color w:val="FF6D14"/>
          <w:sz w:val="24"/>
          <w:szCs w:val="26"/>
        </w:rPr>
      </w:pPr>
    </w:p>
    <w:p w14:paraId="2149A966" w14:textId="77777777" w:rsidR="00B447D6" w:rsidRPr="00B447D6" w:rsidRDefault="00B447D6" w:rsidP="00353498">
      <w:pPr>
        <w:spacing w:after="160"/>
        <w:rPr>
          <w:rFonts w:eastAsiaTheme="majorEastAsia" w:cstheme="majorBidi"/>
          <w:b/>
          <w:color w:val="FF6D14"/>
          <w:sz w:val="24"/>
          <w:szCs w:val="26"/>
        </w:rPr>
      </w:pPr>
    </w:p>
    <w:p w14:paraId="0592830B" w14:textId="1B2D7029" w:rsidR="002936C2" w:rsidRPr="002936C2" w:rsidRDefault="00B447D6" w:rsidP="00353498">
      <w:pPr>
        <w:keepNext/>
        <w:keepLines/>
        <w:spacing w:after="120"/>
        <w:ind w:left="720" w:hanging="720"/>
        <w:outlineLvl w:val="0"/>
        <w:rPr>
          <w:rFonts w:eastAsiaTheme="majorEastAsia" w:cstheme="majorBidi"/>
          <w:b/>
          <w:noProof/>
          <w:color w:val="009AA6"/>
          <w:sz w:val="32"/>
          <w:szCs w:val="32"/>
        </w:rPr>
      </w:pPr>
      <w:bookmarkStart w:id="36" w:name="_Toc498690735"/>
      <w:r>
        <w:rPr>
          <w:rFonts w:eastAsiaTheme="majorEastAsia" w:cstheme="majorBidi"/>
          <w:b/>
          <w:noProof/>
          <w:color w:val="009AA6"/>
          <w:sz w:val="32"/>
          <w:szCs w:val="32"/>
        </w:rPr>
        <w:br w:type="column"/>
      </w:r>
      <w:bookmarkStart w:id="37" w:name="_Toc511597568"/>
      <w:r w:rsidR="002936C2" w:rsidRPr="002936C2">
        <w:rPr>
          <w:rFonts w:eastAsiaTheme="majorEastAsia" w:cstheme="majorBidi"/>
          <w:b/>
          <w:noProof/>
          <w:color w:val="009AA6"/>
          <w:sz w:val="32"/>
          <w:szCs w:val="32"/>
        </w:rPr>
        <w:lastRenderedPageBreak/>
        <w:t>Final Reflections &amp; Next Steps</w:t>
      </w:r>
      <w:bookmarkEnd w:id="36"/>
      <w:bookmarkEnd w:id="37"/>
      <w:r w:rsidR="002936C2" w:rsidRPr="002936C2">
        <w:rPr>
          <w:rFonts w:eastAsiaTheme="majorEastAsia" w:cstheme="majorBidi"/>
          <w:b/>
          <w:noProof/>
          <w:color w:val="009AA6"/>
          <w:sz w:val="32"/>
          <w:szCs w:val="32"/>
        </w:rPr>
        <w:t xml:space="preserve"> </w:t>
      </w:r>
    </w:p>
    <w:p w14:paraId="60B9DEC9" w14:textId="77777777" w:rsidR="002936C2" w:rsidRPr="002936C2" w:rsidRDefault="002936C2" w:rsidP="00353498">
      <w:pPr>
        <w:rPr>
          <w:b/>
          <w:i/>
          <w:sz w:val="24"/>
        </w:rPr>
      </w:pPr>
      <w:r w:rsidRPr="002936C2">
        <w:rPr>
          <w:b/>
          <w:i/>
          <w:sz w:val="24"/>
        </w:rPr>
        <w:t>Post-Module Survey</w:t>
      </w:r>
    </w:p>
    <w:p w14:paraId="55A4C226" w14:textId="77777777" w:rsidR="002936C2" w:rsidRPr="002936C2" w:rsidRDefault="002936C2" w:rsidP="00353498">
      <w:r w:rsidRPr="002936C2">
        <w:t xml:space="preserve">Please take this brief post-module assessment to let us know what you learned and how we can help:  </w:t>
      </w:r>
      <w:hyperlink r:id="rId74" w:history="1">
        <w:r w:rsidRPr="002936C2">
          <w:rPr>
            <w:color w:val="0563C1" w:themeColor="hyperlink"/>
            <w:u w:val="single"/>
          </w:rPr>
          <w:t>https://www.surveymonkey.com/r/NewSDpost-test</w:t>
        </w:r>
      </w:hyperlink>
      <w:r w:rsidRPr="002936C2">
        <w:t xml:space="preserve"> </w:t>
      </w:r>
    </w:p>
    <w:p w14:paraId="2CB912AF" w14:textId="77777777" w:rsidR="002936C2" w:rsidRPr="002936C2" w:rsidRDefault="002936C2" w:rsidP="00353498"/>
    <w:p w14:paraId="530E861C" w14:textId="77777777" w:rsidR="002936C2" w:rsidRDefault="002936C2" w:rsidP="00353498">
      <w:pPr>
        <w:rPr>
          <w:b/>
          <w:i/>
          <w:sz w:val="24"/>
        </w:rPr>
      </w:pPr>
      <w:r w:rsidRPr="002936C2">
        <w:rPr>
          <w:b/>
          <w:i/>
          <w:sz w:val="24"/>
        </w:rPr>
        <w:t>Next Steps</w:t>
      </w:r>
    </w:p>
    <w:p w14:paraId="6F3BC566" w14:textId="77777777" w:rsidR="006120EE" w:rsidRDefault="006120EE" w:rsidP="00353498">
      <w:r>
        <w:t xml:space="preserve">It’s important to keep the momentum of what you have unpacked through this module. We encourage you to commit to a timeline of what you plan to do in 30, 60 and 90 days. See the helpful chart provided to you in Appendix A.  </w:t>
      </w:r>
    </w:p>
    <w:p w14:paraId="6310C31A" w14:textId="77777777" w:rsidR="006120EE" w:rsidRPr="006120EE" w:rsidRDefault="006120EE" w:rsidP="00353498"/>
    <w:p w14:paraId="1519AFC3" w14:textId="42C3BED9" w:rsidR="006120EE" w:rsidRDefault="002936C2" w:rsidP="00353498">
      <w:r w:rsidRPr="00591CD8">
        <w:t>Most importantly, it is our sincerest hope that you already have a list of concrete actions you will take as a result of this module.  Some may be small steps or changes you can make today while others may require you to build a cohesive plan for more dramatic shifts in the future. Just know that we at Advance CTE stand ready to help as critical friends, content experts, and providers of professional development and technical assistance.</w:t>
      </w:r>
      <w:r w:rsidR="006120EE">
        <w:t xml:space="preserve"> </w:t>
      </w:r>
    </w:p>
    <w:p w14:paraId="15789439" w14:textId="77777777" w:rsidR="006120EE" w:rsidRDefault="006120EE" w:rsidP="00353498">
      <w:pPr>
        <w:spacing w:after="160"/>
      </w:pPr>
      <w:r>
        <w:br w:type="page"/>
      </w:r>
    </w:p>
    <w:p w14:paraId="4DDB1404" w14:textId="77777777" w:rsidR="007B5415" w:rsidRDefault="007B5415" w:rsidP="00353498">
      <w:pPr>
        <w:pStyle w:val="Style1"/>
        <w:sectPr w:rsidR="007B5415" w:rsidSect="00CB47C8">
          <w:type w:val="continuous"/>
          <w:pgSz w:w="12240" w:h="15840"/>
          <w:pgMar w:top="1440" w:right="1440" w:bottom="1440" w:left="1440" w:header="720" w:footer="720" w:gutter="0"/>
          <w:cols w:space="720"/>
          <w:titlePg/>
          <w:docGrid w:linePitch="360"/>
        </w:sectPr>
      </w:pPr>
    </w:p>
    <w:p w14:paraId="689BB7F7" w14:textId="77777777" w:rsidR="006120EE" w:rsidRPr="00084B3A" w:rsidRDefault="006120EE" w:rsidP="00353498">
      <w:pPr>
        <w:pStyle w:val="Style1"/>
        <w:numPr>
          <w:ilvl w:val="0"/>
          <w:numId w:val="0"/>
        </w:numPr>
        <w:rPr>
          <w:b/>
        </w:rPr>
      </w:pPr>
      <w:bookmarkStart w:id="38" w:name="_Toc511597569"/>
      <w:r w:rsidRPr="00084B3A">
        <w:rPr>
          <w:b/>
        </w:rPr>
        <w:lastRenderedPageBreak/>
        <w:t>Appendix A: Planning Chart</w:t>
      </w:r>
      <w:bookmarkEnd w:id="38"/>
    </w:p>
    <w:p w14:paraId="38ED68C1" w14:textId="223D6A0C" w:rsidR="007B5415" w:rsidRPr="007B5415" w:rsidRDefault="00B447D6" w:rsidP="00353498">
      <w:pPr>
        <w:jc w:val="center"/>
        <w:rPr>
          <w:b/>
          <w:sz w:val="24"/>
        </w:rPr>
      </w:pPr>
      <w:r>
        <w:rPr>
          <w:b/>
          <w:sz w:val="24"/>
        </w:rPr>
        <w:t>Employer Engagement</w:t>
      </w:r>
    </w:p>
    <w:p w14:paraId="06D88EC8" w14:textId="77777777" w:rsidR="007B5415" w:rsidRPr="007B5415" w:rsidRDefault="007B5415" w:rsidP="00353498">
      <w:pPr>
        <w:jc w:val="center"/>
        <w:rPr>
          <w:b/>
          <w:i/>
          <w:sz w:val="28"/>
        </w:rPr>
      </w:pPr>
      <w:r w:rsidRPr="007B5415">
        <w:rPr>
          <w:b/>
          <w:i/>
          <w:sz w:val="24"/>
        </w:rPr>
        <w:t>High-level Goals and Action Steps</w:t>
      </w:r>
    </w:p>
    <w:p w14:paraId="3CEA39E4" w14:textId="77777777" w:rsidR="007B5415" w:rsidRDefault="007B5415" w:rsidP="00353498"/>
    <w:tbl>
      <w:tblPr>
        <w:tblStyle w:val="TableGrid"/>
        <w:tblW w:w="0" w:type="auto"/>
        <w:tblLook w:val="04A0" w:firstRow="1" w:lastRow="0" w:firstColumn="1" w:lastColumn="0" w:noHBand="0" w:noVBand="1"/>
      </w:tblPr>
      <w:tblGrid>
        <w:gridCol w:w="4266"/>
        <w:gridCol w:w="4267"/>
        <w:gridCol w:w="4267"/>
      </w:tblGrid>
      <w:tr w:rsidR="007B5415" w:rsidRPr="007B5415" w14:paraId="3BB21399" w14:textId="77777777" w:rsidTr="007B5415">
        <w:trPr>
          <w:trHeight w:val="409"/>
        </w:trPr>
        <w:tc>
          <w:tcPr>
            <w:tcW w:w="12800" w:type="dxa"/>
            <w:gridSpan w:val="3"/>
            <w:shd w:val="clear" w:color="auto" w:fill="D0CECE" w:themeFill="background2" w:themeFillShade="E6"/>
          </w:tcPr>
          <w:p w14:paraId="00BBB241" w14:textId="77777777" w:rsidR="007B5415" w:rsidRPr="007B5415" w:rsidRDefault="007B5415" w:rsidP="00353498">
            <w:pPr>
              <w:jc w:val="center"/>
              <w:rPr>
                <w:b/>
              </w:rPr>
            </w:pPr>
            <w:r w:rsidRPr="007B5415">
              <w:rPr>
                <w:b/>
              </w:rPr>
              <w:t>Immediate (Next 0-3 Months)</w:t>
            </w:r>
          </w:p>
        </w:tc>
      </w:tr>
      <w:tr w:rsidR="007B5415" w14:paraId="7F330593" w14:textId="77777777" w:rsidTr="005C6736">
        <w:trPr>
          <w:trHeight w:val="575"/>
        </w:trPr>
        <w:tc>
          <w:tcPr>
            <w:tcW w:w="4266" w:type="dxa"/>
          </w:tcPr>
          <w:p w14:paraId="39A69FF6" w14:textId="77777777" w:rsidR="007B5415" w:rsidRPr="007B5415" w:rsidRDefault="007B5415" w:rsidP="00353498">
            <w:pPr>
              <w:jc w:val="center"/>
              <w:rPr>
                <w:u w:val="single"/>
              </w:rPr>
            </w:pPr>
            <w:r w:rsidRPr="007B5415">
              <w:rPr>
                <w:u w:val="single"/>
              </w:rPr>
              <w:t>Main Goals/Priorities</w:t>
            </w:r>
          </w:p>
        </w:tc>
        <w:tc>
          <w:tcPr>
            <w:tcW w:w="4267" w:type="dxa"/>
          </w:tcPr>
          <w:p w14:paraId="48537B54" w14:textId="77777777" w:rsidR="007B5415" w:rsidRPr="007B5415" w:rsidRDefault="007B5415" w:rsidP="00353498">
            <w:pPr>
              <w:jc w:val="center"/>
              <w:rPr>
                <w:u w:val="single"/>
              </w:rPr>
            </w:pPr>
            <w:r w:rsidRPr="007B5415">
              <w:rPr>
                <w:u w:val="single"/>
              </w:rPr>
              <w:t>Action Steps</w:t>
            </w:r>
          </w:p>
          <w:p w14:paraId="45AF32FC" w14:textId="77777777" w:rsidR="007B5415" w:rsidRDefault="007B5415" w:rsidP="00353498">
            <w:pPr>
              <w:jc w:val="center"/>
            </w:pPr>
            <w:r>
              <w:t>(Planned)</w:t>
            </w:r>
          </w:p>
        </w:tc>
        <w:tc>
          <w:tcPr>
            <w:tcW w:w="4267" w:type="dxa"/>
          </w:tcPr>
          <w:p w14:paraId="6D43D5D8" w14:textId="77777777" w:rsidR="007B5415" w:rsidRPr="007B5415" w:rsidRDefault="007B5415" w:rsidP="00353498">
            <w:pPr>
              <w:jc w:val="center"/>
              <w:rPr>
                <w:u w:val="single"/>
              </w:rPr>
            </w:pPr>
            <w:r w:rsidRPr="007B5415">
              <w:rPr>
                <w:u w:val="single"/>
              </w:rPr>
              <w:t>Potential Concerns</w:t>
            </w:r>
          </w:p>
          <w:p w14:paraId="5E6FB9AD" w14:textId="77777777" w:rsidR="007B5415" w:rsidRDefault="007B5415" w:rsidP="00353498">
            <w:pPr>
              <w:jc w:val="center"/>
            </w:pPr>
            <w:r>
              <w:t>(Related to goals and/or action steps)</w:t>
            </w:r>
          </w:p>
        </w:tc>
      </w:tr>
      <w:tr w:rsidR="007B5415" w14:paraId="2D5D16BE" w14:textId="77777777" w:rsidTr="007B5415">
        <w:trPr>
          <w:trHeight w:val="409"/>
        </w:trPr>
        <w:tc>
          <w:tcPr>
            <w:tcW w:w="4266" w:type="dxa"/>
          </w:tcPr>
          <w:p w14:paraId="6369CF89" w14:textId="77777777" w:rsidR="007B5415" w:rsidRDefault="007B5415" w:rsidP="00353498">
            <w:pPr>
              <w:pStyle w:val="ListParagraph"/>
              <w:numPr>
                <w:ilvl w:val="0"/>
                <w:numId w:val="32"/>
              </w:numPr>
            </w:pPr>
          </w:p>
          <w:p w14:paraId="6D4BB3C7" w14:textId="77777777" w:rsidR="007B5415" w:rsidRDefault="007B5415" w:rsidP="00353498">
            <w:pPr>
              <w:pStyle w:val="ListParagraph"/>
            </w:pPr>
          </w:p>
        </w:tc>
        <w:tc>
          <w:tcPr>
            <w:tcW w:w="4267" w:type="dxa"/>
          </w:tcPr>
          <w:p w14:paraId="0C3CC08C" w14:textId="77777777" w:rsidR="007B5415" w:rsidRDefault="007B5415" w:rsidP="00353498">
            <w:pPr>
              <w:pStyle w:val="ListParagraph"/>
              <w:numPr>
                <w:ilvl w:val="0"/>
                <w:numId w:val="31"/>
              </w:numPr>
            </w:pPr>
          </w:p>
        </w:tc>
        <w:tc>
          <w:tcPr>
            <w:tcW w:w="4267" w:type="dxa"/>
          </w:tcPr>
          <w:p w14:paraId="11B37A07" w14:textId="77777777" w:rsidR="007B5415" w:rsidRDefault="007B5415" w:rsidP="00353498">
            <w:pPr>
              <w:pStyle w:val="ListParagraph"/>
              <w:numPr>
                <w:ilvl w:val="0"/>
                <w:numId w:val="31"/>
              </w:numPr>
            </w:pPr>
          </w:p>
        </w:tc>
      </w:tr>
      <w:tr w:rsidR="007B5415" w14:paraId="0B51C6BE" w14:textId="77777777" w:rsidTr="007B5415">
        <w:trPr>
          <w:trHeight w:val="409"/>
        </w:trPr>
        <w:tc>
          <w:tcPr>
            <w:tcW w:w="4266" w:type="dxa"/>
          </w:tcPr>
          <w:p w14:paraId="673E3357" w14:textId="77777777" w:rsidR="007B5415" w:rsidRDefault="007B5415" w:rsidP="00353498">
            <w:pPr>
              <w:pStyle w:val="ListParagraph"/>
              <w:numPr>
                <w:ilvl w:val="0"/>
                <w:numId w:val="32"/>
              </w:numPr>
            </w:pPr>
          </w:p>
          <w:p w14:paraId="584472E9" w14:textId="77777777" w:rsidR="007B5415" w:rsidRDefault="007B5415" w:rsidP="00353498"/>
        </w:tc>
        <w:tc>
          <w:tcPr>
            <w:tcW w:w="4267" w:type="dxa"/>
          </w:tcPr>
          <w:p w14:paraId="54F93A79" w14:textId="77777777" w:rsidR="007B5415" w:rsidRDefault="007B5415" w:rsidP="00353498">
            <w:pPr>
              <w:pStyle w:val="ListParagraph"/>
              <w:numPr>
                <w:ilvl w:val="0"/>
                <w:numId w:val="31"/>
              </w:numPr>
            </w:pPr>
          </w:p>
        </w:tc>
        <w:tc>
          <w:tcPr>
            <w:tcW w:w="4267" w:type="dxa"/>
          </w:tcPr>
          <w:p w14:paraId="78450806" w14:textId="77777777" w:rsidR="007B5415" w:rsidRDefault="007B5415" w:rsidP="00353498">
            <w:pPr>
              <w:pStyle w:val="ListParagraph"/>
              <w:numPr>
                <w:ilvl w:val="0"/>
                <w:numId w:val="31"/>
              </w:numPr>
            </w:pPr>
          </w:p>
        </w:tc>
      </w:tr>
      <w:tr w:rsidR="007B5415" w14:paraId="549DBB45" w14:textId="77777777" w:rsidTr="007B5415">
        <w:trPr>
          <w:trHeight w:val="409"/>
        </w:trPr>
        <w:tc>
          <w:tcPr>
            <w:tcW w:w="4266" w:type="dxa"/>
          </w:tcPr>
          <w:p w14:paraId="5B42248A" w14:textId="77777777" w:rsidR="007B5415" w:rsidRDefault="007B5415" w:rsidP="00353498">
            <w:pPr>
              <w:pStyle w:val="ListParagraph"/>
              <w:numPr>
                <w:ilvl w:val="0"/>
                <w:numId w:val="32"/>
              </w:numPr>
            </w:pPr>
          </w:p>
        </w:tc>
        <w:tc>
          <w:tcPr>
            <w:tcW w:w="4267" w:type="dxa"/>
          </w:tcPr>
          <w:p w14:paraId="1380A0D8" w14:textId="77777777" w:rsidR="007B5415" w:rsidRDefault="007B5415" w:rsidP="00353498">
            <w:pPr>
              <w:pStyle w:val="ListParagraph"/>
              <w:numPr>
                <w:ilvl w:val="0"/>
                <w:numId w:val="31"/>
              </w:numPr>
            </w:pPr>
          </w:p>
        </w:tc>
        <w:tc>
          <w:tcPr>
            <w:tcW w:w="4267" w:type="dxa"/>
          </w:tcPr>
          <w:p w14:paraId="48A748B9" w14:textId="77777777" w:rsidR="007B5415" w:rsidRDefault="007B5415" w:rsidP="00353498">
            <w:pPr>
              <w:pStyle w:val="ListParagraph"/>
              <w:numPr>
                <w:ilvl w:val="0"/>
                <w:numId w:val="31"/>
              </w:numPr>
            </w:pPr>
          </w:p>
        </w:tc>
      </w:tr>
      <w:tr w:rsidR="007B5415" w:rsidRPr="007B5415" w14:paraId="4D8B82F8" w14:textId="77777777" w:rsidTr="007B5415">
        <w:trPr>
          <w:trHeight w:val="409"/>
        </w:trPr>
        <w:tc>
          <w:tcPr>
            <w:tcW w:w="12800" w:type="dxa"/>
            <w:gridSpan w:val="3"/>
            <w:shd w:val="clear" w:color="auto" w:fill="D0CECE" w:themeFill="background2" w:themeFillShade="E6"/>
          </w:tcPr>
          <w:p w14:paraId="42262CA5" w14:textId="77777777" w:rsidR="007B5415" w:rsidRPr="007B5415" w:rsidRDefault="007B5415" w:rsidP="00353498">
            <w:pPr>
              <w:jc w:val="center"/>
              <w:rPr>
                <w:b/>
              </w:rPr>
            </w:pPr>
            <w:r>
              <w:rPr>
                <w:b/>
              </w:rPr>
              <w:t>Intermediate</w:t>
            </w:r>
            <w:r w:rsidRPr="007B5415">
              <w:rPr>
                <w:b/>
              </w:rPr>
              <w:t xml:space="preserve"> (Next </w:t>
            </w:r>
            <w:r>
              <w:rPr>
                <w:b/>
              </w:rPr>
              <w:t>4</w:t>
            </w:r>
            <w:r w:rsidRPr="007B5415">
              <w:rPr>
                <w:b/>
              </w:rPr>
              <w:t>-</w:t>
            </w:r>
            <w:r>
              <w:rPr>
                <w:b/>
              </w:rPr>
              <w:t>9</w:t>
            </w:r>
            <w:r w:rsidRPr="007B5415">
              <w:rPr>
                <w:b/>
              </w:rPr>
              <w:t xml:space="preserve"> Months)</w:t>
            </w:r>
          </w:p>
        </w:tc>
      </w:tr>
      <w:tr w:rsidR="007B5415" w14:paraId="05EAD8C6" w14:textId="77777777" w:rsidTr="005C6736">
        <w:trPr>
          <w:trHeight w:val="575"/>
        </w:trPr>
        <w:tc>
          <w:tcPr>
            <w:tcW w:w="4266" w:type="dxa"/>
          </w:tcPr>
          <w:p w14:paraId="7C2C3371" w14:textId="77777777" w:rsidR="007B5415" w:rsidRPr="007B5415" w:rsidRDefault="007B5415" w:rsidP="00353498">
            <w:pPr>
              <w:jc w:val="center"/>
              <w:rPr>
                <w:u w:val="single"/>
              </w:rPr>
            </w:pPr>
            <w:r w:rsidRPr="007B5415">
              <w:rPr>
                <w:u w:val="single"/>
              </w:rPr>
              <w:t>Main Goals/Priorities</w:t>
            </w:r>
          </w:p>
        </w:tc>
        <w:tc>
          <w:tcPr>
            <w:tcW w:w="4267" w:type="dxa"/>
          </w:tcPr>
          <w:p w14:paraId="46BE5D9A" w14:textId="77777777" w:rsidR="007B5415" w:rsidRPr="007B5415" w:rsidRDefault="007B5415" w:rsidP="00353498">
            <w:pPr>
              <w:jc w:val="center"/>
              <w:rPr>
                <w:u w:val="single"/>
              </w:rPr>
            </w:pPr>
            <w:r w:rsidRPr="007B5415">
              <w:rPr>
                <w:u w:val="single"/>
              </w:rPr>
              <w:t>Action Steps</w:t>
            </w:r>
          </w:p>
          <w:p w14:paraId="1019B7FD" w14:textId="77777777" w:rsidR="007B5415" w:rsidRDefault="007B5415" w:rsidP="00353498">
            <w:pPr>
              <w:jc w:val="center"/>
            </w:pPr>
            <w:r>
              <w:t>(Planned)</w:t>
            </w:r>
          </w:p>
        </w:tc>
        <w:tc>
          <w:tcPr>
            <w:tcW w:w="4267" w:type="dxa"/>
          </w:tcPr>
          <w:p w14:paraId="45B40C9F" w14:textId="77777777" w:rsidR="007B5415" w:rsidRPr="007B5415" w:rsidRDefault="007B5415" w:rsidP="00353498">
            <w:pPr>
              <w:jc w:val="center"/>
              <w:rPr>
                <w:u w:val="single"/>
              </w:rPr>
            </w:pPr>
            <w:r w:rsidRPr="007B5415">
              <w:rPr>
                <w:u w:val="single"/>
              </w:rPr>
              <w:t>Potential Concerns</w:t>
            </w:r>
          </w:p>
          <w:p w14:paraId="275513F1" w14:textId="77777777" w:rsidR="007B5415" w:rsidRDefault="007B5415" w:rsidP="00353498">
            <w:pPr>
              <w:jc w:val="center"/>
            </w:pPr>
            <w:r>
              <w:t>(Related to goals and/or action steps)</w:t>
            </w:r>
          </w:p>
        </w:tc>
      </w:tr>
      <w:tr w:rsidR="007B5415" w14:paraId="29228D8C" w14:textId="77777777" w:rsidTr="007B5415">
        <w:trPr>
          <w:trHeight w:val="409"/>
        </w:trPr>
        <w:tc>
          <w:tcPr>
            <w:tcW w:w="4266" w:type="dxa"/>
          </w:tcPr>
          <w:p w14:paraId="1D8ADDB4" w14:textId="77777777" w:rsidR="007B5415" w:rsidRDefault="007B5415" w:rsidP="00353498">
            <w:pPr>
              <w:pStyle w:val="ListParagraph"/>
              <w:numPr>
                <w:ilvl w:val="0"/>
                <w:numId w:val="33"/>
              </w:numPr>
            </w:pPr>
          </w:p>
          <w:p w14:paraId="7367F796" w14:textId="77777777" w:rsidR="007B5415" w:rsidRDefault="007B5415" w:rsidP="00353498"/>
        </w:tc>
        <w:tc>
          <w:tcPr>
            <w:tcW w:w="4267" w:type="dxa"/>
          </w:tcPr>
          <w:p w14:paraId="76923458" w14:textId="77777777" w:rsidR="007B5415" w:rsidRDefault="007B5415" w:rsidP="00353498">
            <w:pPr>
              <w:pStyle w:val="ListParagraph"/>
              <w:numPr>
                <w:ilvl w:val="0"/>
                <w:numId w:val="31"/>
              </w:numPr>
            </w:pPr>
          </w:p>
        </w:tc>
        <w:tc>
          <w:tcPr>
            <w:tcW w:w="4267" w:type="dxa"/>
          </w:tcPr>
          <w:p w14:paraId="61EF01BD" w14:textId="77777777" w:rsidR="007B5415" w:rsidRDefault="007B5415" w:rsidP="00353498">
            <w:pPr>
              <w:pStyle w:val="ListParagraph"/>
              <w:numPr>
                <w:ilvl w:val="0"/>
                <w:numId w:val="31"/>
              </w:numPr>
            </w:pPr>
          </w:p>
        </w:tc>
      </w:tr>
      <w:tr w:rsidR="007B5415" w14:paraId="09E71D33" w14:textId="77777777" w:rsidTr="007B5415">
        <w:trPr>
          <w:trHeight w:val="409"/>
        </w:trPr>
        <w:tc>
          <w:tcPr>
            <w:tcW w:w="4266" w:type="dxa"/>
          </w:tcPr>
          <w:p w14:paraId="2D9CFE31" w14:textId="77777777" w:rsidR="007B5415" w:rsidRDefault="007B5415" w:rsidP="00353498">
            <w:pPr>
              <w:pStyle w:val="ListParagraph"/>
              <w:numPr>
                <w:ilvl w:val="0"/>
                <w:numId w:val="33"/>
              </w:numPr>
            </w:pPr>
          </w:p>
          <w:p w14:paraId="7AD05877" w14:textId="77777777" w:rsidR="007B5415" w:rsidRDefault="007B5415" w:rsidP="00353498"/>
        </w:tc>
        <w:tc>
          <w:tcPr>
            <w:tcW w:w="4267" w:type="dxa"/>
          </w:tcPr>
          <w:p w14:paraId="25DED60D" w14:textId="77777777" w:rsidR="007B5415" w:rsidRDefault="007B5415" w:rsidP="00353498">
            <w:pPr>
              <w:pStyle w:val="ListParagraph"/>
              <w:numPr>
                <w:ilvl w:val="0"/>
                <w:numId w:val="31"/>
              </w:numPr>
            </w:pPr>
          </w:p>
        </w:tc>
        <w:tc>
          <w:tcPr>
            <w:tcW w:w="4267" w:type="dxa"/>
          </w:tcPr>
          <w:p w14:paraId="70C67E45" w14:textId="77777777" w:rsidR="007B5415" w:rsidRDefault="007B5415" w:rsidP="00353498">
            <w:pPr>
              <w:pStyle w:val="ListParagraph"/>
              <w:numPr>
                <w:ilvl w:val="0"/>
                <w:numId w:val="31"/>
              </w:numPr>
            </w:pPr>
          </w:p>
        </w:tc>
      </w:tr>
      <w:tr w:rsidR="007B5415" w14:paraId="75E1D711" w14:textId="77777777" w:rsidTr="007B5415">
        <w:trPr>
          <w:trHeight w:val="409"/>
        </w:trPr>
        <w:tc>
          <w:tcPr>
            <w:tcW w:w="4266" w:type="dxa"/>
          </w:tcPr>
          <w:p w14:paraId="0257D206" w14:textId="77777777" w:rsidR="007B5415" w:rsidRDefault="007B5415" w:rsidP="00353498">
            <w:pPr>
              <w:pStyle w:val="ListParagraph"/>
              <w:numPr>
                <w:ilvl w:val="0"/>
                <w:numId w:val="33"/>
              </w:numPr>
            </w:pPr>
          </w:p>
        </w:tc>
        <w:tc>
          <w:tcPr>
            <w:tcW w:w="4267" w:type="dxa"/>
          </w:tcPr>
          <w:p w14:paraId="7E20CEE6" w14:textId="77777777" w:rsidR="007B5415" w:rsidRDefault="007B5415" w:rsidP="00353498">
            <w:pPr>
              <w:pStyle w:val="ListParagraph"/>
              <w:numPr>
                <w:ilvl w:val="0"/>
                <w:numId w:val="31"/>
              </w:numPr>
            </w:pPr>
          </w:p>
        </w:tc>
        <w:tc>
          <w:tcPr>
            <w:tcW w:w="4267" w:type="dxa"/>
          </w:tcPr>
          <w:p w14:paraId="4BAE3987" w14:textId="77777777" w:rsidR="007B5415" w:rsidRDefault="007B5415" w:rsidP="00353498">
            <w:pPr>
              <w:pStyle w:val="ListParagraph"/>
              <w:numPr>
                <w:ilvl w:val="0"/>
                <w:numId w:val="31"/>
              </w:numPr>
            </w:pPr>
          </w:p>
        </w:tc>
      </w:tr>
      <w:tr w:rsidR="007B5415" w:rsidRPr="007B5415" w14:paraId="702EB639" w14:textId="77777777" w:rsidTr="007B5415">
        <w:trPr>
          <w:trHeight w:val="409"/>
        </w:trPr>
        <w:tc>
          <w:tcPr>
            <w:tcW w:w="12800" w:type="dxa"/>
            <w:gridSpan w:val="3"/>
            <w:shd w:val="clear" w:color="auto" w:fill="D0CECE" w:themeFill="background2" w:themeFillShade="E6"/>
          </w:tcPr>
          <w:p w14:paraId="74049E02" w14:textId="77777777" w:rsidR="007B5415" w:rsidRPr="007B5415" w:rsidRDefault="007B5415" w:rsidP="00353498">
            <w:pPr>
              <w:jc w:val="center"/>
              <w:rPr>
                <w:b/>
              </w:rPr>
            </w:pPr>
            <w:r>
              <w:rPr>
                <w:b/>
              </w:rPr>
              <w:t>Long-term</w:t>
            </w:r>
            <w:r w:rsidRPr="007B5415">
              <w:rPr>
                <w:b/>
              </w:rPr>
              <w:t xml:space="preserve"> (Next </w:t>
            </w:r>
            <w:r>
              <w:rPr>
                <w:b/>
              </w:rPr>
              <w:t>10-18</w:t>
            </w:r>
            <w:r w:rsidRPr="007B5415">
              <w:rPr>
                <w:b/>
              </w:rPr>
              <w:t xml:space="preserve"> Months)</w:t>
            </w:r>
          </w:p>
        </w:tc>
      </w:tr>
      <w:tr w:rsidR="007B5415" w14:paraId="028ED658" w14:textId="77777777" w:rsidTr="005C6736">
        <w:trPr>
          <w:trHeight w:val="620"/>
        </w:trPr>
        <w:tc>
          <w:tcPr>
            <w:tcW w:w="4266" w:type="dxa"/>
          </w:tcPr>
          <w:p w14:paraId="4B11A084" w14:textId="77777777" w:rsidR="007B5415" w:rsidRPr="007B5415" w:rsidRDefault="007B5415" w:rsidP="00353498">
            <w:pPr>
              <w:jc w:val="center"/>
              <w:rPr>
                <w:u w:val="single"/>
              </w:rPr>
            </w:pPr>
            <w:r w:rsidRPr="007B5415">
              <w:rPr>
                <w:u w:val="single"/>
              </w:rPr>
              <w:t>Main Goals/Priorities</w:t>
            </w:r>
          </w:p>
        </w:tc>
        <w:tc>
          <w:tcPr>
            <w:tcW w:w="4267" w:type="dxa"/>
          </w:tcPr>
          <w:p w14:paraId="7E47D2DF" w14:textId="77777777" w:rsidR="007B5415" w:rsidRPr="007B5415" w:rsidRDefault="007B5415" w:rsidP="00353498">
            <w:pPr>
              <w:jc w:val="center"/>
              <w:rPr>
                <w:u w:val="single"/>
              </w:rPr>
            </w:pPr>
            <w:r w:rsidRPr="007B5415">
              <w:rPr>
                <w:u w:val="single"/>
              </w:rPr>
              <w:t>Action Steps</w:t>
            </w:r>
          </w:p>
          <w:p w14:paraId="2471BCEF" w14:textId="77777777" w:rsidR="007B5415" w:rsidRDefault="007B5415" w:rsidP="00353498">
            <w:pPr>
              <w:jc w:val="center"/>
            </w:pPr>
            <w:r>
              <w:t>(Planned)</w:t>
            </w:r>
          </w:p>
        </w:tc>
        <w:tc>
          <w:tcPr>
            <w:tcW w:w="4267" w:type="dxa"/>
          </w:tcPr>
          <w:p w14:paraId="3A69E37B" w14:textId="77777777" w:rsidR="007B5415" w:rsidRPr="007B5415" w:rsidRDefault="007B5415" w:rsidP="00353498">
            <w:pPr>
              <w:jc w:val="center"/>
              <w:rPr>
                <w:u w:val="single"/>
              </w:rPr>
            </w:pPr>
            <w:r w:rsidRPr="007B5415">
              <w:rPr>
                <w:u w:val="single"/>
              </w:rPr>
              <w:t>Potential Concerns</w:t>
            </w:r>
          </w:p>
          <w:p w14:paraId="0B48CA8A" w14:textId="77777777" w:rsidR="007B5415" w:rsidRDefault="007B5415" w:rsidP="00353498">
            <w:pPr>
              <w:jc w:val="center"/>
            </w:pPr>
            <w:r>
              <w:t>(Related to goals and/or action steps)</w:t>
            </w:r>
          </w:p>
        </w:tc>
      </w:tr>
      <w:tr w:rsidR="007B5415" w14:paraId="1586CF58" w14:textId="77777777" w:rsidTr="007B5415">
        <w:trPr>
          <w:trHeight w:val="409"/>
        </w:trPr>
        <w:tc>
          <w:tcPr>
            <w:tcW w:w="4266" w:type="dxa"/>
          </w:tcPr>
          <w:p w14:paraId="3CC1A903" w14:textId="77777777" w:rsidR="007B5415" w:rsidRDefault="007B5415" w:rsidP="00353498">
            <w:pPr>
              <w:pStyle w:val="ListParagraph"/>
              <w:numPr>
                <w:ilvl w:val="0"/>
                <w:numId w:val="34"/>
              </w:numPr>
            </w:pPr>
          </w:p>
          <w:p w14:paraId="6C7DB706" w14:textId="77777777" w:rsidR="007B5415" w:rsidRDefault="007B5415" w:rsidP="00353498"/>
        </w:tc>
        <w:tc>
          <w:tcPr>
            <w:tcW w:w="4267" w:type="dxa"/>
          </w:tcPr>
          <w:p w14:paraId="2DE35758" w14:textId="77777777" w:rsidR="007B5415" w:rsidRDefault="007B5415" w:rsidP="00353498">
            <w:pPr>
              <w:pStyle w:val="ListParagraph"/>
              <w:numPr>
                <w:ilvl w:val="0"/>
                <w:numId w:val="31"/>
              </w:numPr>
            </w:pPr>
          </w:p>
        </w:tc>
        <w:tc>
          <w:tcPr>
            <w:tcW w:w="4267" w:type="dxa"/>
          </w:tcPr>
          <w:p w14:paraId="059A8FAF" w14:textId="77777777" w:rsidR="007B5415" w:rsidRDefault="007B5415" w:rsidP="00353498">
            <w:pPr>
              <w:pStyle w:val="ListParagraph"/>
              <w:numPr>
                <w:ilvl w:val="0"/>
                <w:numId w:val="31"/>
              </w:numPr>
            </w:pPr>
          </w:p>
        </w:tc>
      </w:tr>
      <w:tr w:rsidR="007B5415" w14:paraId="391178B0" w14:textId="77777777" w:rsidTr="007B5415">
        <w:trPr>
          <w:trHeight w:val="409"/>
        </w:trPr>
        <w:tc>
          <w:tcPr>
            <w:tcW w:w="4266" w:type="dxa"/>
          </w:tcPr>
          <w:p w14:paraId="6FCD213B" w14:textId="77777777" w:rsidR="007B5415" w:rsidRDefault="007B5415" w:rsidP="00353498">
            <w:pPr>
              <w:pStyle w:val="ListParagraph"/>
              <w:numPr>
                <w:ilvl w:val="0"/>
                <w:numId w:val="34"/>
              </w:numPr>
            </w:pPr>
          </w:p>
          <w:p w14:paraId="2B80D277" w14:textId="77777777" w:rsidR="007B5415" w:rsidRDefault="007B5415" w:rsidP="00353498">
            <w:pPr>
              <w:pStyle w:val="ListParagraph"/>
            </w:pPr>
          </w:p>
        </w:tc>
        <w:tc>
          <w:tcPr>
            <w:tcW w:w="4267" w:type="dxa"/>
          </w:tcPr>
          <w:p w14:paraId="0816E6CA" w14:textId="77777777" w:rsidR="007B5415" w:rsidRDefault="007B5415" w:rsidP="00353498">
            <w:pPr>
              <w:pStyle w:val="ListParagraph"/>
              <w:numPr>
                <w:ilvl w:val="0"/>
                <w:numId w:val="31"/>
              </w:numPr>
            </w:pPr>
          </w:p>
        </w:tc>
        <w:tc>
          <w:tcPr>
            <w:tcW w:w="4267" w:type="dxa"/>
          </w:tcPr>
          <w:p w14:paraId="71A098C4" w14:textId="77777777" w:rsidR="007B5415" w:rsidRDefault="007B5415" w:rsidP="00353498">
            <w:pPr>
              <w:pStyle w:val="ListParagraph"/>
              <w:numPr>
                <w:ilvl w:val="0"/>
                <w:numId w:val="31"/>
              </w:numPr>
            </w:pPr>
          </w:p>
        </w:tc>
      </w:tr>
      <w:tr w:rsidR="007B5415" w14:paraId="015F4704" w14:textId="77777777" w:rsidTr="007B5415">
        <w:trPr>
          <w:trHeight w:val="409"/>
        </w:trPr>
        <w:tc>
          <w:tcPr>
            <w:tcW w:w="4266" w:type="dxa"/>
          </w:tcPr>
          <w:p w14:paraId="6E4FB78D" w14:textId="77777777" w:rsidR="007B5415" w:rsidRDefault="007B5415" w:rsidP="00353498">
            <w:pPr>
              <w:pStyle w:val="ListParagraph"/>
              <w:numPr>
                <w:ilvl w:val="0"/>
                <w:numId w:val="34"/>
              </w:numPr>
            </w:pPr>
          </w:p>
          <w:p w14:paraId="03417E3C" w14:textId="77777777" w:rsidR="007B5415" w:rsidRDefault="007B5415" w:rsidP="00353498"/>
        </w:tc>
        <w:tc>
          <w:tcPr>
            <w:tcW w:w="4267" w:type="dxa"/>
          </w:tcPr>
          <w:p w14:paraId="02946764" w14:textId="77777777" w:rsidR="007B5415" w:rsidRDefault="007B5415" w:rsidP="00353498">
            <w:pPr>
              <w:pStyle w:val="ListParagraph"/>
              <w:numPr>
                <w:ilvl w:val="0"/>
                <w:numId w:val="31"/>
              </w:numPr>
            </w:pPr>
          </w:p>
        </w:tc>
        <w:tc>
          <w:tcPr>
            <w:tcW w:w="4267" w:type="dxa"/>
          </w:tcPr>
          <w:p w14:paraId="124F2586" w14:textId="77777777" w:rsidR="007B5415" w:rsidRDefault="007B5415" w:rsidP="00353498">
            <w:pPr>
              <w:pStyle w:val="ListParagraph"/>
              <w:numPr>
                <w:ilvl w:val="0"/>
                <w:numId w:val="31"/>
              </w:numPr>
            </w:pPr>
          </w:p>
        </w:tc>
      </w:tr>
    </w:tbl>
    <w:p w14:paraId="3F341F4A" w14:textId="77777777" w:rsidR="006120EE" w:rsidRPr="00263E96" w:rsidRDefault="006120EE" w:rsidP="00353498"/>
    <w:sectPr w:rsidR="006120EE" w:rsidRPr="00263E96" w:rsidSect="007B5415">
      <w:type w:val="continuous"/>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614EE" w14:textId="77777777" w:rsidR="00437D23" w:rsidRDefault="00437D23" w:rsidP="001D7CC8">
      <w:r>
        <w:separator/>
      </w:r>
    </w:p>
  </w:endnote>
  <w:endnote w:type="continuationSeparator" w:id="0">
    <w:p w14:paraId="20A57D21" w14:textId="77777777" w:rsidR="00437D23" w:rsidRDefault="00437D23" w:rsidP="001D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15A40" w14:textId="77777777" w:rsidR="00ED4B04" w:rsidRDefault="00ED4B04" w:rsidP="002F2177">
    <w:pPr>
      <w:pStyle w:val="Footer"/>
    </w:pPr>
  </w:p>
  <w:p w14:paraId="5A2FEEDD" w14:textId="77777777" w:rsidR="00ED4B04" w:rsidRDefault="00ED4B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188D3" w14:textId="77777777" w:rsidR="00ED4B04" w:rsidRDefault="00ED4B04" w:rsidP="002F2177">
    <w:pPr>
      <w:pStyle w:val="Footer"/>
    </w:pPr>
  </w:p>
  <w:p w14:paraId="1A8AD913" w14:textId="77777777" w:rsidR="00ED4B04" w:rsidRDefault="00ED4B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FA5F3" w14:textId="77777777" w:rsidR="00ED4B04" w:rsidRDefault="00ED4B04" w:rsidP="002F2177">
    <w:pPr>
      <w:pStyle w:val="Footer"/>
    </w:pPr>
  </w:p>
  <w:p w14:paraId="7B5E23A8" w14:textId="77777777" w:rsidR="00ED4B04" w:rsidRDefault="00ED4B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AC2E2" w14:textId="77777777" w:rsidR="00437D23" w:rsidRDefault="00437D23" w:rsidP="001D7CC8">
      <w:r>
        <w:separator/>
      </w:r>
    </w:p>
  </w:footnote>
  <w:footnote w:type="continuationSeparator" w:id="0">
    <w:p w14:paraId="00BF8AA4" w14:textId="77777777" w:rsidR="00437D23" w:rsidRDefault="00437D23" w:rsidP="001D7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sz w:val="18"/>
      </w:rPr>
      <w:id w:val="1105918228"/>
      <w:docPartObj>
        <w:docPartGallery w:val="Page Numbers (Top of Page)"/>
        <w:docPartUnique/>
      </w:docPartObj>
    </w:sdtPr>
    <w:sdtEndPr>
      <w:rPr>
        <w:b/>
        <w:bCs/>
        <w:noProof/>
        <w:color w:val="auto"/>
        <w:spacing w:val="0"/>
      </w:rPr>
    </w:sdtEndPr>
    <w:sdtContent>
      <w:p w14:paraId="7492211C" w14:textId="1A211A3A" w:rsidR="00ED4B04" w:rsidRPr="005F3671" w:rsidRDefault="00ED4B04" w:rsidP="005F3671">
        <w:pPr>
          <w:pStyle w:val="Header"/>
          <w:pBdr>
            <w:bottom w:val="single" w:sz="4" w:space="1" w:color="D9D9D9" w:themeColor="background1" w:themeShade="D9"/>
          </w:pBdr>
          <w:rPr>
            <w:b/>
            <w:bCs/>
            <w:sz w:val="18"/>
          </w:rPr>
        </w:pPr>
        <w:r w:rsidRPr="005F3671">
          <w:rPr>
            <w:color w:val="7F7F7F" w:themeColor="background1" w:themeShade="7F"/>
            <w:spacing w:val="60"/>
            <w:sz w:val="18"/>
          </w:rPr>
          <w:t xml:space="preserve">New State Director Leadership Program-Module </w:t>
        </w:r>
        <w:r>
          <w:rPr>
            <w:color w:val="7F7F7F" w:themeColor="background1" w:themeShade="7F"/>
            <w:spacing w:val="60"/>
            <w:sz w:val="18"/>
          </w:rPr>
          <w:t>3</w:t>
        </w:r>
        <w:r w:rsidRPr="005F3671">
          <w:rPr>
            <w:color w:val="7F7F7F" w:themeColor="background1" w:themeShade="7F"/>
            <w:spacing w:val="60"/>
            <w:sz w:val="18"/>
          </w:rPr>
          <w:t xml:space="preserve">: </w:t>
        </w:r>
        <w:r>
          <w:rPr>
            <w:color w:val="7F7F7F" w:themeColor="background1" w:themeShade="7F"/>
            <w:spacing w:val="60"/>
            <w:sz w:val="18"/>
          </w:rPr>
          <w:t>Employer Engagement</w:t>
        </w:r>
        <w:r w:rsidRPr="005F3671">
          <w:rPr>
            <w:sz w:val="18"/>
          </w:rPr>
          <w:t xml:space="preserve"> | </w:t>
        </w:r>
        <w:r>
          <w:fldChar w:fldCharType="begin"/>
        </w:r>
        <w:r>
          <w:instrText xml:space="preserve"> PAGE   \* MERGEFORMAT </w:instrText>
        </w:r>
        <w:r>
          <w:fldChar w:fldCharType="separate"/>
        </w:r>
        <w:r w:rsidR="008C4E6D" w:rsidRPr="008C4E6D">
          <w:rPr>
            <w:b/>
            <w:bCs/>
            <w:noProof/>
            <w:sz w:val="18"/>
          </w:rPr>
          <w:t>21</w:t>
        </w:r>
        <w:r>
          <w:rPr>
            <w:b/>
            <w:bCs/>
            <w:noProof/>
            <w:sz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sz w:val="18"/>
      </w:rPr>
      <w:id w:val="-207722222"/>
      <w:docPartObj>
        <w:docPartGallery w:val="Page Numbers (Top of Page)"/>
        <w:docPartUnique/>
      </w:docPartObj>
    </w:sdtPr>
    <w:sdtEndPr>
      <w:rPr>
        <w:b/>
        <w:bCs/>
        <w:noProof/>
        <w:color w:val="auto"/>
        <w:spacing w:val="0"/>
      </w:rPr>
    </w:sdtEndPr>
    <w:sdtContent>
      <w:p w14:paraId="2D1C0BB8" w14:textId="5931E112" w:rsidR="00ED4B04" w:rsidRPr="005F3671" w:rsidRDefault="00ED4B04" w:rsidP="005F3671">
        <w:pPr>
          <w:pStyle w:val="Header"/>
          <w:pBdr>
            <w:bottom w:val="single" w:sz="4" w:space="1" w:color="D9D9D9" w:themeColor="background1" w:themeShade="D9"/>
          </w:pBdr>
          <w:rPr>
            <w:b/>
            <w:bCs/>
            <w:sz w:val="18"/>
          </w:rPr>
        </w:pPr>
        <w:r w:rsidRPr="005F3671">
          <w:rPr>
            <w:color w:val="7F7F7F" w:themeColor="background1" w:themeShade="7F"/>
            <w:spacing w:val="60"/>
            <w:sz w:val="18"/>
          </w:rPr>
          <w:t xml:space="preserve">New State Director Leadership Program-Module </w:t>
        </w:r>
        <w:r>
          <w:rPr>
            <w:color w:val="7F7F7F" w:themeColor="background1" w:themeShade="7F"/>
            <w:spacing w:val="60"/>
            <w:sz w:val="18"/>
          </w:rPr>
          <w:t>3</w:t>
        </w:r>
        <w:r w:rsidRPr="005F3671">
          <w:rPr>
            <w:color w:val="7F7F7F" w:themeColor="background1" w:themeShade="7F"/>
            <w:spacing w:val="60"/>
            <w:sz w:val="18"/>
          </w:rPr>
          <w:t xml:space="preserve">: </w:t>
        </w:r>
        <w:r>
          <w:rPr>
            <w:color w:val="7F7F7F" w:themeColor="background1" w:themeShade="7F"/>
            <w:spacing w:val="60"/>
            <w:sz w:val="18"/>
          </w:rPr>
          <w:t>Employer Engagement</w:t>
        </w:r>
        <w:r w:rsidRPr="005F3671">
          <w:rPr>
            <w:sz w:val="18"/>
          </w:rPr>
          <w:t xml:space="preserve"> | </w:t>
        </w:r>
        <w:r>
          <w:fldChar w:fldCharType="begin"/>
        </w:r>
        <w:r>
          <w:instrText xml:space="preserve"> PAGE   \* MERGEFORMAT </w:instrText>
        </w:r>
        <w:r>
          <w:fldChar w:fldCharType="separate"/>
        </w:r>
        <w:r w:rsidR="008C4E6D" w:rsidRPr="008C4E6D">
          <w:rPr>
            <w:b/>
            <w:bCs/>
            <w:noProof/>
            <w:sz w:val="18"/>
          </w:rPr>
          <w:t>24</w:t>
        </w:r>
        <w:r>
          <w:rPr>
            <w:b/>
            <w:bCs/>
            <w:noProof/>
            <w:sz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sz w:val="18"/>
      </w:rPr>
      <w:id w:val="1581026032"/>
      <w:docPartObj>
        <w:docPartGallery w:val="Page Numbers (Top of Page)"/>
        <w:docPartUnique/>
      </w:docPartObj>
    </w:sdtPr>
    <w:sdtEndPr>
      <w:rPr>
        <w:b/>
        <w:bCs/>
        <w:noProof/>
        <w:color w:val="auto"/>
        <w:spacing w:val="0"/>
      </w:rPr>
    </w:sdtEndPr>
    <w:sdtContent>
      <w:p w14:paraId="3BA543F5" w14:textId="0780BEDA" w:rsidR="00ED4B04" w:rsidRPr="005F3671" w:rsidRDefault="00ED4B04" w:rsidP="005F3671">
        <w:pPr>
          <w:pStyle w:val="Header"/>
          <w:pBdr>
            <w:bottom w:val="single" w:sz="4" w:space="1" w:color="D9D9D9" w:themeColor="background1" w:themeShade="D9"/>
          </w:pBdr>
          <w:rPr>
            <w:b/>
            <w:bCs/>
            <w:sz w:val="18"/>
          </w:rPr>
        </w:pPr>
        <w:r w:rsidRPr="005F3671">
          <w:rPr>
            <w:color w:val="7F7F7F" w:themeColor="background1" w:themeShade="7F"/>
            <w:spacing w:val="60"/>
            <w:sz w:val="18"/>
          </w:rPr>
          <w:t xml:space="preserve">New State Director Leadership Program-Module </w:t>
        </w:r>
        <w:r>
          <w:rPr>
            <w:color w:val="7F7F7F" w:themeColor="background1" w:themeShade="7F"/>
            <w:spacing w:val="60"/>
            <w:sz w:val="18"/>
          </w:rPr>
          <w:t>3</w:t>
        </w:r>
        <w:r w:rsidRPr="005F3671">
          <w:rPr>
            <w:color w:val="7F7F7F" w:themeColor="background1" w:themeShade="7F"/>
            <w:spacing w:val="60"/>
            <w:sz w:val="18"/>
          </w:rPr>
          <w:t xml:space="preserve">: </w:t>
        </w:r>
        <w:r>
          <w:rPr>
            <w:color w:val="7F7F7F" w:themeColor="background1" w:themeShade="7F"/>
            <w:spacing w:val="60"/>
            <w:sz w:val="18"/>
          </w:rPr>
          <w:t>Employer Engagement</w:t>
        </w:r>
        <w:r w:rsidRPr="005F3671">
          <w:rPr>
            <w:sz w:val="18"/>
          </w:rPr>
          <w:t xml:space="preserve"> | </w:t>
        </w:r>
        <w:r>
          <w:fldChar w:fldCharType="begin"/>
        </w:r>
        <w:r>
          <w:instrText xml:space="preserve"> PAGE   \* MERGEFORMAT </w:instrText>
        </w:r>
        <w:r>
          <w:fldChar w:fldCharType="separate"/>
        </w:r>
        <w:r w:rsidR="008C4E6D" w:rsidRPr="008C4E6D">
          <w:rPr>
            <w:b/>
            <w:bCs/>
            <w:noProof/>
            <w:sz w:val="18"/>
          </w:rPr>
          <w:t>32</w:t>
        </w:r>
        <w:r>
          <w:rPr>
            <w:b/>
            <w:bCs/>
            <w:noProof/>
            <w:sz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4D2E"/>
    <w:multiLevelType w:val="hybridMultilevel"/>
    <w:tmpl w:val="3E14F7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2F77594"/>
    <w:multiLevelType w:val="hybridMultilevel"/>
    <w:tmpl w:val="F5043A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92822"/>
    <w:multiLevelType w:val="hybridMultilevel"/>
    <w:tmpl w:val="B71E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B595C"/>
    <w:multiLevelType w:val="hybridMultilevel"/>
    <w:tmpl w:val="F0F0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E6C6E"/>
    <w:multiLevelType w:val="hybridMultilevel"/>
    <w:tmpl w:val="18DAD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BA58B6"/>
    <w:multiLevelType w:val="hybridMultilevel"/>
    <w:tmpl w:val="0FDE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854F6"/>
    <w:multiLevelType w:val="hybridMultilevel"/>
    <w:tmpl w:val="9EC44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2E26"/>
    <w:multiLevelType w:val="hybridMultilevel"/>
    <w:tmpl w:val="53DEC2C8"/>
    <w:lvl w:ilvl="0" w:tplc="E2CE8686">
      <w:numFmt w:val="bullet"/>
      <w:lvlText w:val="-"/>
      <w:lvlJc w:val="left"/>
      <w:pPr>
        <w:ind w:left="720" w:hanging="360"/>
      </w:pPr>
      <w:rPr>
        <w:rFonts w:ascii="Myriad Pro" w:eastAsiaTheme="minorHAnsi" w:hAnsi="Myriad Pro"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C11B8"/>
    <w:multiLevelType w:val="multilevel"/>
    <w:tmpl w:val="D36A2D7A"/>
    <w:lvl w:ilvl="0">
      <w:start w:val="1"/>
      <w:numFmt w:val="decimal"/>
      <w:lvlText w:val="%1."/>
      <w:lvlJc w:val="left"/>
      <w:pPr>
        <w:tabs>
          <w:tab w:val="num" w:pos="360"/>
        </w:tabs>
        <w:ind w:left="360" w:hanging="360"/>
      </w:pPr>
      <w:rPr>
        <w:rFonts w:hint="default"/>
        <w:b w:val="0"/>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DB66443"/>
    <w:multiLevelType w:val="hybridMultilevel"/>
    <w:tmpl w:val="783E68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31095265"/>
    <w:multiLevelType w:val="hybridMultilevel"/>
    <w:tmpl w:val="626C2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1B017D"/>
    <w:multiLevelType w:val="hybridMultilevel"/>
    <w:tmpl w:val="44EEB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214CCF"/>
    <w:multiLevelType w:val="hybridMultilevel"/>
    <w:tmpl w:val="DA5EE1B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34B426AB"/>
    <w:multiLevelType w:val="hybridMultilevel"/>
    <w:tmpl w:val="9EC44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C42A55"/>
    <w:multiLevelType w:val="hybridMultilevel"/>
    <w:tmpl w:val="7F72D5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9938E5"/>
    <w:multiLevelType w:val="multilevel"/>
    <w:tmpl w:val="D36A2D7A"/>
    <w:lvl w:ilvl="0">
      <w:start w:val="1"/>
      <w:numFmt w:val="decimal"/>
      <w:lvlText w:val="%1."/>
      <w:lvlJc w:val="left"/>
      <w:pPr>
        <w:tabs>
          <w:tab w:val="num" w:pos="360"/>
        </w:tabs>
        <w:ind w:left="360" w:hanging="360"/>
      </w:pPr>
      <w:rPr>
        <w:rFonts w:hint="default"/>
        <w:b w:val="0"/>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F474AA1"/>
    <w:multiLevelType w:val="hybridMultilevel"/>
    <w:tmpl w:val="B7863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B83CB5"/>
    <w:multiLevelType w:val="multilevel"/>
    <w:tmpl w:val="B55AC3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370592B"/>
    <w:multiLevelType w:val="hybridMultilevel"/>
    <w:tmpl w:val="22324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04DF7"/>
    <w:multiLevelType w:val="hybridMultilevel"/>
    <w:tmpl w:val="7A766D8E"/>
    <w:lvl w:ilvl="0" w:tplc="5220F4CA">
      <w:start w:val="1"/>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7C33AE"/>
    <w:multiLevelType w:val="hybridMultilevel"/>
    <w:tmpl w:val="9EC44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D57EB"/>
    <w:multiLevelType w:val="hybridMultilevel"/>
    <w:tmpl w:val="197E691C"/>
    <w:lvl w:ilvl="0" w:tplc="5220F4CA">
      <w:start w:val="1"/>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1F2D53"/>
    <w:multiLevelType w:val="hybridMultilevel"/>
    <w:tmpl w:val="2FF8B8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2C0519"/>
    <w:multiLevelType w:val="hybridMultilevel"/>
    <w:tmpl w:val="71DA3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AB1609"/>
    <w:multiLevelType w:val="hybridMultilevel"/>
    <w:tmpl w:val="4E707D56"/>
    <w:lvl w:ilvl="0" w:tplc="9BD85A22">
      <w:numFmt w:val="bullet"/>
      <w:lvlText w:val="-"/>
      <w:lvlJc w:val="left"/>
      <w:pPr>
        <w:ind w:left="720" w:hanging="360"/>
      </w:pPr>
      <w:rPr>
        <w:rFonts w:ascii="Myriad Pro" w:eastAsiaTheme="minorHAnsi"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CC1743"/>
    <w:multiLevelType w:val="hybridMultilevel"/>
    <w:tmpl w:val="4552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D96A89"/>
    <w:multiLevelType w:val="hybridMultilevel"/>
    <w:tmpl w:val="684A6DA2"/>
    <w:lvl w:ilvl="0" w:tplc="1524764A">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AB1290"/>
    <w:multiLevelType w:val="hybridMultilevel"/>
    <w:tmpl w:val="A7C00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D707B9"/>
    <w:multiLevelType w:val="hybridMultilevel"/>
    <w:tmpl w:val="D04EC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2E67A8"/>
    <w:multiLevelType w:val="hybridMultilevel"/>
    <w:tmpl w:val="3D3C7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C365311"/>
    <w:multiLevelType w:val="hybridMultilevel"/>
    <w:tmpl w:val="3B208B54"/>
    <w:lvl w:ilvl="0" w:tplc="51EE6C6E">
      <w:numFmt w:val="bullet"/>
      <w:lvlText w:val="-"/>
      <w:lvlJc w:val="left"/>
      <w:pPr>
        <w:ind w:left="720" w:hanging="360"/>
      </w:pPr>
      <w:rPr>
        <w:rFonts w:ascii="Myriad Pro" w:eastAsiaTheme="minorHAnsi"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D1423D"/>
    <w:multiLevelType w:val="hybridMultilevel"/>
    <w:tmpl w:val="CEEE1CB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62FA6B56"/>
    <w:multiLevelType w:val="hybridMultilevel"/>
    <w:tmpl w:val="18C45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F87E7C"/>
    <w:multiLevelType w:val="multilevel"/>
    <w:tmpl w:val="72FA4734"/>
    <w:lvl w:ilvl="0">
      <w:start w:val="1"/>
      <w:numFmt w:val="bullet"/>
      <w:lvlText w:val="●"/>
      <w:lvlJc w:val="left"/>
      <w:pPr>
        <w:ind w:left="720" w:hanging="360"/>
      </w:pPr>
      <w:rPr>
        <w:rFonts w:hint="default"/>
        <w:u w:val="none"/>
      </w:rPr>
    </w:lvl>
    <w:lvl w:ilvl="1">
      <w:start w:val="1"/>
      <w:numFmt w:val="bullet"/>
      <w:lvlText w:val="○"/>
      <w:lvlJc w:val="left"/>
      <w:pPr>
        <w:ind w:left="432" w:firstLine="72"/>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34" w15:restartNumberingAfterBreak="0">
    <w:nsid w:val="68607178"/>
    <w:multiLevelType w:val="hybridMultilevel"/>
    <w:tmpl w:val="97FC0E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931719"/>
    <w:multiLevelType w:val="hybridMultilevel"/>
    <w:tmpl w:val="1E9A7BD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4645B2"/>
    <w:multiLevelType w:val="hybridMultilevel"/>
    <w:tmpl w:val="6614A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51792E"/>
    <w:multiLevelType w:val="hybridMultilevel"/>
    <w:tmpl w:val="412EEEF0"/>
    <w:lvl w:ilvl="0" w:tplc="F8347568">
      <w:start w:val="1"/>
      <w:numFmt w:val="upperRoman"/>
      <w:pStyle w:val="Style1"/>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00E2621"/>
    <w:multiLevelType w:val="hybridMultilevel"/>
    <w:tmpl w:val="FFB435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1495861"/>
    <w:multiLevelType w:val="hybridMultilevel"/>
    <w:tmpl w:val="94D2D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2D10DB8"/>
    <w:multiLevelType w:val="hybridMultilevel"/>
    <w:tmpl w:val="AFAE3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8B3ADB"/>
    <w:multiLevelType w:val="hybridMultilevel"/>
    <w:tmpl w:val="5CD832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E713AC"/>
    <w:multiLevelType w:val="hybridMultilevel"/>
    <w:tmpl w:val="A8207CAE"/>
    <w:lvl w:ilvl="0" w:tplc="E2CE8686">
      <w:numFmt w:val="bullet"/>
      <w:lvlText w:val="-"/>
      <w:lvlJc w:val="left"/>
      <w:pPr>
        <w:ind w:left="720" w:hanging="360"/>
      </w:pPr>
      <w:rPr>
        <w:rFonts w:ascii="Myriad Pro" w:eastAsiaTheme="minorHAnsi" w:hAnsi="Myriad Pro"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DA7439"/>
    <w:multiLevelType w:val="hybridMultilevel"/>
    <w:tmpl w:val="E3FE1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D847746"/>
    <w:multiLevelType w:val="hybridMultilevel"/>
    <w:tmpl w:val="358CB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4A3572"/>
    <w:multiLevelType w:val="hybridMultilevel"/>
    <w:tmpl w:val="4F76B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B10153"/>
    <w:multiLevelType w:val="hybridMultilevel"/>
    <w:tmpl w:val="07C2E1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
  </w:num>
  <w:num w:numId="3">
    <w:abstractNumId w:val="29"/>
  </w:num>
  <w:num w:numId="4">
    <w:abstractNumId w:val="37"/>
  </w:num>
  <w:num w:numId="5">
    <w:abstractNumId w:val="28"/>
  </w:num>
  <w:num w:numId="6">
    <w:abstractNumId w:val="27"/>
  </w:num>
  <w:num w:numId="7">
    <w:abstractNumId w:val="38"/>
  </w:num>
  <w:num w:numId="8">
    <w:abstractNumId w:val="14"/>
  </w:num>
  <w:num w:numId="9">
    <w:abstractNumId w:val="36"/>
  </w:num>
  <w:num w:numId="10">
    <w:abstractNumId w:val="43"/>
  </w:num>
  <w:num w:numId="11">
    <w:abstractNumId w:val="41"/>
  </w:num>
  <w:num w:numId="12">
    <w:abstractNumId w:val="21"/>
  </w:num>
  <w:num w:numId="13">
    <w:abstractNumId w:val="19"/>
  </w:num>
  <w:num w:numId="14">
    <w:abstractNumId w:val="40"/>
  </w:num>
  <w:num w:numId="15">
    <w:abstractNumId w:val="46"/>
  </w:num>
  <w:num w:numId="16">
    <w:abstractNumId w:val="4"/>
  </w:num>
  <w:num w:numId="17">
    <w:abstractNumId w:val="0"/>
  </w:num>
  <w:num w:numId="18">
    <w:abstractNumId w:val="2"/>
  </w:num>
  <w:num w:numId="19">
    <w:abstractNumId w:val="25"/>
  </w:num>
  <w:num w:numId="20">
    <w:abstractNumId w:val="9"/>
  </w:num>
  <w:num w:numId="21">
    <w:abstractNumId w:val="31"/>
  </w:num>
  <w:num w:numId="22">
    <w:abstractNumId w:val="12"/>
  </w:num>
  <w:num w:numId="23">
    <w:abstractNumId w:val="44"/>
  </w:num>
  <w:num w:numId="24">
    <w:abstractNumId w:val="32"/>
  </w:num>
  <w:num w:numId="25">
    <w:abstractNumId w:val="39"/>
  </w:num>
  <w:num w:numId="26">
    <w:abstractNumId w:val="11"/>
  </w:num>
  <w:num w:numId="27">
    <w:abstractNumId w:val="35"/>
  </w:num>
  <w:num w:numId="28">
    <w:abstractNumId w:val="18"/>
  </w:num>
  <w:num w:numId="29">
    <w:abstractNumId w:val="3"/>
  </w:num>
  <w:num w:numId="30">
    <w:abstractNumId w:val="45"/>
  </w:num>
  <w:num w:numId="31">
    <w:abstractNumId w:val="10"/>
  </w:num>
  <w:num w:numId="32">
    <w:abstractNumId w:val="20"/>
  </w:num>
  <w:num w:numId="33">
    <w:abstractNumId w:val="6"/>
  </w:num>
  <w:num w:numId="34">
    <w:abstractNumId w:val="13"/>
  </w:num>
  <w:num w:numId="35">
    <w:abstractNumId w:val="24"/>
  </w:num>
  <w:num w:numId="36">
    <w:abstractNumId w:val="7"/>
  </w:num>
  <w:num w:numId="37">
    <w:abstractNumId w:val="16"/>
  </w:num>
  <w:num w:numId="38">
    <w:abstractNumId w:val="42"/>
  </w:num>
  <w:num w:numId="39">
    <w:abstractNumId w:val="34"/>
  </w:num>
  <w:num w:numId="40">
    <w:abstractNumId w:val="22"/>
  </w:num>
  <w:num w:numId="41">
    <w:abstractNumId w:val="30"/>
  </w:num>
  <w:num w:numId="42">
    <w:abstractNumId w:val="26"/>
  </w:num>
  <w:num w:numId="43">
    <w:abstractNumId w:val="5"/>
  </w:num>
  <w:num w:numId="44">
    <w:abstractNumId w:val="17"/>
  </w:num>
  <w:num w:numId="45">
    <w:abstractNumId w:val="8"/>
  </w:num>
  <w:num w:numId="46">
    <w:abstractNumId w:val="15"/>
  </w:num>
  <w:num w:numId="47">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7E"/>
    <w:rsid w:val="00004590"/>
    <w:rsid w:val="00005281"/>
    <w:rsid w:val="00006811"/>
    <w:rsid w:val="0001432D"/>
    <w:rsid w:val="00020640"/>
    <w:rsid w:val="00021DAB"/>
    <w:rsid w:val="00022A73"/>
    <w:rsid w:val="00025E59"/>
    <w:rsid w:val="00027675"/>
    <w:rsid w:val="00031725"/>
    <w:rsid w:val="00040042"/>
    <w:rsid w:val="00042E84"/>
    <w:rsid w:val="0005079E"/>
    <w:rsid w:val="00050D03"/>
    <w:rsid w:val="00072859"/>
    <w:rsid w:val="00074A3B"/>
    <w:rsid w:val="000812CB"/>
    <w:rsid w:val="000814A1"/>
    <w:rsid w:val="00084B3A"/>
    <w:rsid w:val="00090573"/>
    <w:rsid w:val="000951DE"/>
    <w:rsid w:val="00095342"/>
    <w:rsid w:val="0009653B"/>
    <w:rsid w:val="000A121D"/>
    <w:rsid w:val="000A3055"/>
    <w:rsid w:val="000A57CF"/>
    <w:rsid w:val="000C3D6D"/>
    <w:rsid w:val="000C763C"/>
    <w:rsid w:val="000E5738"/>
    <w:rsid w:val="000E624A"/>
    <w:rsid w:val="000E7B56"/>
    <w:rsid w:val="000F0DDD"/>
    <w:rsid w:val="000F4D4D"/>
    <w:rsid w:val="000F627F"/>
    <w:rsid w:val="001050FE"/>
    <w:rsid w:val="00105A2A"/>
    <w:rsid w:val="00113E56"/>
    <w:rsid w:val="00126BC9"/>
    <w:rsid w:val="00137AFC"/>
    <w:rsid w:val="001420E0"/>
    <w:rsid w:val="00164447"/>
    <w:rsid w:val="00170D70"/>
    <w:rsid w:val="00170DC7"/>
    <w:rsid w:val="00193725"/>
    <w:rsid w:val="00195C9B"/>
    <w:rsid w:val="001A4AE9"/>
    <w:rsid w:val="001A6255"/>
    <w:rsid w:val="001B4BDE"/>
    <w:rsid w:val="001C1E4C"/>
    <w:rsid w:val="001C3F28"/>
    <w:rsid w:val="001C5168"/>
    <w:rsid w:val="001D5C79"/>
    <w:rsid w:val="001D7488"/>
    <w:rsid w:val="001D7CC8"/>
    <w:rsid w:val="001E626B"/>
    <w:rsid w:val="001E7D97"/>
    <w:rsid w:val="001F324A"/>
    <w:rsid w:val="00202D82"/>
    <w:rsid w:val="00202FFC"/>
    <w:rsid w:val="00224215"/>
    <w:rsid w:val="00227379"/>
    <w:rsid w:val="0023188D"/>
    <w:rsid w:val="00231B42"/>
    <w:rsid w:val="00233E56"/>
    <w:rsid w:val="0023689C"/>
    <w:rsid w:val="00243ACA"/>
    <w:rsid w:val="00243EA2"/>
    <w:rsid w:val="00253CB0"/>
    <w:rsid w:val="00254C50"/>
    <w:rsid w:val="00257C71"/>
    <w:rsid w:val="002607A6"/>
    <w:rsid w:val="0026104E"/>
    <w:rsid w:val="00262A25"/>
    <w:rsid w:val="00263E96"/>
    <w:rsid w:val="00266E28"/>
    <w:rsid w:val="00271AFD"/>
    <w:rsid w:val="00273D51"/>
    <w:rsid w:val="0028103F"/>
    <w:rsid w:val="00281309"/>
    <w:rsid w:val="00286D55"/>
    <w:rsid w:val="00286FE8"/>
    <w:rsid w:val="00290CA9"/>
    <w:rsid w:val="00292F79"/>
    <w:rsid w:val="002936C2"/>
    <w:rsid w:val="002A034B"/>
    <w:rsid w:val="002A0A2E"/>
    <w:rsid w:val="002A1075"/>
    <w:rsid w:val="002A11FB"/>
    <w:rsid w:val="002A1323"/>
    <w:rsid w:val="002A1873"/>
    <w:rsid w:val="002A5EA2"/>
    <w:rsid w:val="002A6371"/>
    <w:rsid w:val="002A6387"/>
    <w:rsid w:val="002B3630"/>
    <w:rsid w:val="002B4387"/>
    <w:rsid w:val="002B5BFC"/>
    <w:rsid w:val="002C02B3"/>
    <w:rsid w:val="002C7BAF"/>
    <w:rsid w:val="002D06F9"/>
    <w:rsid w:val="002D3018"/>
    <w:rsid w:val="002E258E"/>
    <w:rsid w:val="002F2177"/>
    <w:rsid w:val="002F53F7"/>
    <w:rsid w:val="00304F7C"/>
    <w:rsid w:val="0030732C"/>
    <w:rsid w:val="00311B94"/>
    <w:rsid w:val="00322845"/>
    <w:rsid w:val="00331E68"/>
    <w:rsid w:val="00340C53"/>
    <w:rsid w:val="00345B75"/>
    <w:rsid w:val="00345F39"/>
    <w:rsid w:val="00346922"/>
    <w:rsid w:val="00353055"/>
    <w:rsid w:val="00353498"/>
    <w:rsid w:val="00353615"/>
    <w:rsid w:val="00353A7D"/>
    <w:rsid w:val="00355AD9"/>
    <w:rsid w:val="003664C0"/>
    <w:rsid w:val="00366AF0"/>
    <w:rsid w:val="003677DC"/>
    <w:rsid w:val="00371BF6"/>
    <w:rsid w:val="00375583"/>
    <w:rsid w:val="003814D1"/>
    <w:rsid w:val="00391141"/>
    <w:rsid w:val="003A121D"/>
    <w:rsid w:val="003A4FFA"/>
    <w:rsid w:val="003A63BC"/>
    <w:rsid w:val="003C12D2"/>
    <w:rsid w:val="003C471A"/>
    <w:rsid w:val="003D09F7"/>
    <w:rsid w:val="003D4578"/>
    <w:rsid w:val="003D53A6"/>
    <w:rsid w:val="003D5677"/>
    <w:rsid w:val="003E4F12"/>
    <w:rsid w:val="003E6168"/>
    <w:rsid w:val="003F5776"/>
    <w:rsid w:val="0040160A"/>
    <w:rsid w:val="00403D63"/>
    <w:rsid w:val="00415234"/>
    <w:rsid w:val="00416566"/>
    <w:rsid w:val="00421367"/>
    <w:rsid w:val="00423B67"/>
    <w:rsid w:val="00424EA6"/>
    <w:rsid w:val="004254AF"/>
    <w:rsid w:val="00426C99"/>
    <w:rsid w:val="0043134C"/>
    <w:rsid w:val="004367C4"/>
    <w:rsid w:val="00437070"/>
    <w:rsid w:val="00437D23"/>
    <w:rsid w:val="004404C6"/>
    <w:rsid w:val="004411C8"/>
    <w:rsid w:val="00442C5B"/>
    <w:rsid w:val="0044414C"/>
    <w:rsid w:val="004466C5"/>
    <w:rsid w:val="00450D6D"/>
    <w:rsid w:val="00456E05"/>
    <w:rsid w:val="0046760A"/>
    <w:rsid w:val="004726FB"/>
    <w:rsid w:val="00472783"/>
    <w:rsid w:val="00472950"/>
    <w:rsid w:val="00474F8E"/>
    <w:rsid w:val="00476D4E"/>
    <w:rsid w:val="00477398"/>
    <w:rsid w:val="00484406"/>
    <w:rsid w:val="00487BA7"/>
    <w:rsid w:val="00493F0A"/>
    <w:rsid w:val="004954D3"/>
    <w:rsid w:val="004A1D9E"/>
    <w:rsid w:val="004A762D"/>
    <w:rsid w:val="004B589F"/>
    <w:rsid w:val="004B7532"/>
    <w:rsid w:val="004B7608"/>
    <w:rsid w:val="004C5896"/>
    <w:rsid w:val="004C7E90"/>
    <w:rsid w:val="004D1988"/>
    <w:rsid w:val="004D2BFF"/>
    <w:rsid w:val="004D36A8"/>
    <w:rsid w:val="004E14BD"/>
    <w:rsid w:val="004E1755"/>
    <w:rsid w:val="004E6EA0"/>
    <w:rsid w:val="004F0CC8"/>
    <w:rsid w:val="004F3D7E"/>
    <w:rsid w:val="0050650A"/>
    <w:rsid w:val="0051065E"/>
    <w:rsid w:val="00512A6F"/>
    <w:rsid w:val="00521FF9"/>
    <w:rsid w:val="005272A7"/>
    <w:rsid w:val="00532070"/>
    <w:rsid w:val="00534E0D"/>
    <w:rsid w:val="00536EFC"/>
    <w:rsid w:val="00557453"/>
    <w:rsid w:val="00561882"/>
    <w:rsid w:val="00583491"/>
    <w:rsid w:val="00591CD8"/>
    <w:rsid w:val="0059766C"/>
    <w:rsid w:val="005A2BA3"/>
    <w:rsid w:val="005A3C02"/>
    <w:rsid w:val="005B144F"/>
    <w:rsid w:val="005B51C8"/>
    <w:rsid w:val="005B66AC"/>
    <w:rsid w:val="005B6DCC"/>
    <w:rsid w:val="005C0BBA"/>
    <w:rsid w:val="005C3624"/>
    <w:rsid w:val="005C3E37"/>
    <w:rsid w:val="005C60F8"/>
    <w:rsid w:val="005C6736"/>
    <w:rsid w:val="005D1D52"/>
    <w:rsid w:val="005D1F64"/>
    <w:rsid w:val="005E4814"/>
    <w:rsid w:val="005E4F76"/>
    <w:rsid w:val="005F06E3"/>
    <w:rsid w:val="005F3671"/>
    <w:rsid w:val="005F5C74"/>
    <w:rsid w:val="006039E8"/>
    <w:rsid w:val="00603B6D"/>
    <w:rsid w:val="006058DC"/>
    <w:rsid w:val="00606BD0"/>
    <w:rsid w:val="00606C83"/>
    <w:rsid w:val="00610F41"/>
    <w:rsid w:val="006120EE"/>
    <w:rsid w:val="006122B8"/>
    <w:rsid w:val="00614685"/>
    <w:rsid w:val="00617D05"/>
    <w:rsid w:val="006229C2"/>
    <w:rsid w:val="00641CED"/>
    <w:rsid w:val="00644025"/>
    <w:rsid w:val="00645B9D"/>
    <w:rsid w:val="0065657F"/>
    <w:rsid w:val="0066625B"/>
    <w:rsid w:val="00666780"/>
    <w:rsid w:val="00672DED"/>
    <w:rsid w:val="00674FE1"/>
    <w:rsid w:val="00681DD9"/>
    <w:rsid w:val="00682ABE"/>
    <w:rsid w:val="00685DA7"/>
    <w:rsid w:val="006A0181"/>
    <w:rsid w:val="006B3245"/>
    <w:rsid w:val="006B456B"/>
    <w:rsid w:val="006B53D9"/>
    <w:rsid w:val="006B6830"/>
    <w:rsid w:val="006C48ED"/>
    <w:rsid w:val="006C576A"/>
    <w:rsid w:val="006C59A5"/>
    <w:rsid w:val="006D0FF6"/>
    <w:rsid w:val="006D1165"/>
    <w:rsid w:val="006D4B63"/>
    <w:rsid w:val="006D673A"/>
    <w:rsid w:val="006D6D6F"/>
    <w:rsid w:val="006E114D"/>
    <w:rsid w:val="006E3B88"/>
    <w:rsid w:val="006E6DAA"/>
    <w:rsid w:val="006F4838"/>
    <w:rsid w:val="006F7674"/>
    <w:rsid w:val="007009B9"/>
    <w:rsid w:val="00700C7D"/>
    <w:rsid w:val="007023F2"/>
    <w:rsid w:val="00702CCB"/>
    <w:rsid w:val="007032C4"/>
    <w:rsid w:val="007045A8"/>
    <w:rsid w:val="00704C9C"/>
    <w:rsid w:val="007117A5"/>
    <w:rsid w:val="0071186B"/>
    <w:rsid w:val="00712030"/>
    <w:rsid w:val="00712F75"/>
    <w:rsid w:val="00714C8F"/>
    <w:rsid w:val="00716C35"/>
    <w:rsid w:val="007217DF"/>
    <w:rsid w:val="0072296A"/>
    <w:rsid w:val="00722B86"/>
    <w:rsid w:val="00725A0B"/>
    <w:rsid w:val="0073209B"/>
    <w:rsid w:val="007357A5"/>
    <w:rsid w:val="00741A0A"/>
    <w:rsid w:val="00743A59"/>
    <w:rsid w:val="00744A88"/>
    <w:rsid w:val="00744CED"/>
    <w:rsid w:val="007450F2"/>
    <w:rsid w:val="00746413"/>
    <w:rsid w:val="00747C6B"/>
    <w:rsid w:val="00751AB2"/>
    <w:rsid w:val="007546A8"/>
    <w:rsid w:val="0075539F"/>
    <w:rsid w:val="007565C9"/>
    <w:rsid w:val="00761CCD"/>
    <w:rsid w:val="00766190"/>
    <w:rsid w:val="00767E7C"/>
    <w:rsid w:val="00771930"/>
    <w:rsid w:val="00771A01"/>
    <w:rsid w:val="00772167"/>
    <w:rsid w:val="0078225C"/>
    <w:rsid w:val="00790E9E"/>
    <w:rsid w:val="007A176A"/>
    <w:rsid w:val="007A2072"/>
    <w:rsid w:val="007A367B"/>
    <w:rsid w:val="007A4702"/>
    <w:rsid w:val="007A798E"/>
    <w:rsid w:val="007B496A"/>
    <w:rsid w:val="007B5277"/>
    <w:rsid w:val="007B5387"/>
    <w:rsid w:val="007B5415"/>
    <w:rsid w:val="007B5FB2"/>
    <w:rsid w:val="007C2AE9"/>
    <w:rsid w:val="007C2EC5"/>
    <w:rsid w:val="007C4CA1"/>
    <w:rsid w:val="007C6D9C"/>
    <w:rsid w:val="007C76E8"/>
    <w:rsid w:val="007E2CFF"/>
    <w:rsid w:val="00810716"/>
    <w:rsid w:val="008304CD"/>
    <w:rsid w:val="0083068D"/>
    <w:rsid w:val="00835724"/>
    <w:rsid w:val="00836637"/>
    <w:rsid w:val="008439B5"/>
    <w:rsid w:val="00844186"/>
    <w:rsid w:val="008452E1"/>
    <w:rsid w:val="008461F5"/>
    <w:rsid w:val="00846500"/>
    <w:rsid w:val="00855805"/>
    <w:rsid w:val="008767B1"/>
    <w:rsid w:val="00882116"/>
    <w:rsid w:val="00884187"/>
    <w:rsid w:val="00886286"/>
    <w:rsid w:val="00887264"/>
    <w:rsid w:val="00890A5F"/>
    <w:rsid w:val="008A7FE3"/>
    <w:rsid w:val="008B3767"/>
    <w:rsid w:val="008B4F6A"/>
    <w:rsid w:val="008B6764"/>
    <w:rsid w:val="008C4E6D"/>
    <w:rsid w:val="008E0554"/>
    <w:rsid w:val="008E6D44"/>
    <w:rsid w:val="008F0825"/>
    <w:rsid w:val="008F4C2F"/>
    <w:rsid w:val="008F6330"/>
    <w:rsid w:val="008F7877"/>
    <w:rsid w:val="009014D7"/>
    <w:rsid w:val="00901B5E"/>
    <w:rsid w:val="009037B2"/>
    <w:rsid w:val="00915E87"/>
    <w:rsid w:val="0091625B"/>
    <w:rsid w:val="0091743E"/>
    <w:rsid w:val="00917F01"/>
    <w:rsid w:val="00920676"/>
    <w:rsid w:val="009328FE"/>
    <w:rsid w:val="00933F25"/>
    <w:rsid w:val="00934C08"/>
    <w:rsid w:val="00934DCE"/>
    <w:rsid w:val="0094180F"/>
    <w:rsid w:val="00944431"/>
    <w:rsid w:val="00945056"/>
    <w:rsid w:val="009454A1"/>
    <w:rsid w:val="00945DE5"/>
    <w:rsid w:val="00945DF6"/>
    <w:rsid w:val="00952111"/>
    <w:rsid w:val="009637B0"/>
    <w:rsid w:val="00977E28"/>
    <w:rsid w:val="00983D47"/>
    <w:rsid w:val="00986C36"/>
    <w:rsid w:val="00993197"/>
    <w:rsid w:val="009A01C7"/>
    <w:rsid w:val="009A0719"/>
    <w:rsid w:val="009A2C65"/>
    <w:rsid w:val="009A3932"/>
    <w:rsid w:val="009A452F"/>
    <w:rsid w:val="009A54E0"/>
    <w:rsid w:val="009B0C0C"/>
    <w:rsid w:val="009B2041"/>
    <w:rsid w:val="009B3342"/>
    <w:rsid w:val="009B3C3D"/>
    <w:rsid w:val="009B7F7C"/>
    <w:rsid w:val="009C597E"/>
    <w:rsid w:val="009C6068"/>
    <w:rsid w:val="009D0090"/>
    <w:rsid w:val="009D0918"/>
    <w:rsid w:val="009D651F"/>
    <w:rsid w:val="009D7878"/>
    <w:rsid w:val="009E044B"/>
    <w:rsid w:val="009E225D"/>
    <w:rsid w:val="009E503C"/>
    <w:rsid w:val="009E6F56"/>
    <w:rsid w:val="00A00144"/>
    <w:rsid w:val="00A15548"/>
    <w:rsid w:val="00A17937"/>
    <w:rsid w:val="00A218DA"/>
    <w:rsid w:val="00A220F8"/>
    <w:rsid w:val="00A24EB2"/>
    <w:rsid w:val="00A333C0"/>
    <w:rsid w:val="00A35149"/>
    <w:rsid w:val="00A420EB"/>
    <w:rsid w:val="00A4508C"/>
    <w:rsid w:val="00A45FE9"/>
    <w:rsid w:val="00A471D4"/>
    <w:rsid w:val="00A51AFD"/>
    <w:rsid w:val="00A549A8"/>
    <w:rsid w:val="00A56861"/>
    <w:rsid w:val="00A57288"/>
    <w:rsid w:val="00A724FC"/>
    <w:rsid w:val="00A763B7"/>
    <w:rsid w:val="00A8088E"/>
    <w:rsid w:val="00A859BA"/>
    <w:rsid w:val="00A90374"/>
    <w:rsid w:val="00A96D14"/>
    <w:rsid w:val="00AA621A"/>
    <w:rsid w:val="00AA75A1"/>
    <w:rsid w:val="00AB4F65"/>
    <w:rsid w:val="00AB6893"/>
    <w:rsid w:val="00AB7FD0"/>
    <w:rsid w:val="00AC2016"/>
    <w:rsid w:val="00AC2B40"/>
    <w:rsid w:val="00AC64ED"/>
    <w:rsid w:val="00AD09A1"/>
    <w:rsid w:val="00AD19EE"/>
    <w:rsid w:val="00AD3271"/>
    <w:rsid w:val="00AD59F0"/>
    <w:rsid w:val="00AE0927"/>
    <w:rsid w:val="00AE6A1F"/>
    <w:rsid w:val="00AE73C3"/>
    <w:rsid w:val="00AF2473"/>
    <w:rsid w:val="00B01A0B"/>
    <w:rsid w:val="00B07B3A"/>
    <w:rsid w:val="00B131B1"/>
    <w:rsid w:val="00B15B76"/>
    <w:rsid w:val="00B16374"/>
    <w:rsid w:val="00B24586"/>
    <w:rsid w:val="00B246DE"/>
    <w:rsid w:val="00B2601F"/>
    <w:rsid w:val="00B30637"/>
    <w:rsid w:val="00B313CA"/>
    <w:rsid w:val="00B331FF"/>
    <w:rsid w:val="00B340CE"/>
    <w:rsid w:val="00B35916"/>
    <w:rsid w:val="00B40966"/>
    <w:rsid w:val="00B41607"/>
    <w:rsid w:val="00B447D6"/>
    <w:rsid w:val="00B465F7"/>
    <w:rsid w:val="00B55A87"/>
    <w:rsid w:val="00B757E3"/>
    <w:rsid w:val="00B75FA7"/>
    <w:rsid w:val="00B83934"/>
    <w:rsid w:val="00B855BF"/>
    <w:rsid w:val="00B91994"/>
    <w:rsid w:val="00BA1FEB"/>
    <w:rsid w:val="00BA3DA7"/>
    <w:rsid w:val="00BA4C49"/>
    <w:rsid w:val="00BB2117"/>
    <w:rsid w:val="00BB7695"/>
    <w:rsid w:val="00BB77FD"/>
    <w:rsid w:val="00BC4826"/>
    <w:rsid w:val="00BD6012"/>
    <w:rsid w:val="00BD667F"/>
    <w:rsid w:val="00BE7FE4"/>
    <w:rsid w:val="00BF55F8"/>
    <w:rsid w:val="00BF67C8"/>
    <w:rsid w:val="00C051F0"/>
    <w:rsid w:val="00C12763"/>
    <w:rsid w:val="00C16432"/>
    <w:rsid w:val="00C2034B"/>
    <w:rsid w:val="00C22985"/>
    <w:rsid w:val="00C257A1"/>
    <w:rsid w:val="00C26CA1"/>
    <w:rsid w:val="00C33C47"/>
    <w:rsid w:val="00C34F62"/>
    <w:rsid w:val="00C35E2A"/>
    <w:rsid w:val="00C43155"/>
    <w:rsid w:val="00C43B62"/>
    <w:rsid w:val="00C475EA"/>
    <w:rsid w:val="00C501C0"/>
    <w:rsid w:val="00C524C4"/>
    <w:rsid w:val="00C53F02"/>
    <w:rsid w:val="00C60B1E"/>
    <w:rsid w:val="00C61F41"/>
    <w:rsid w:val="00C81F41"/>
    <w:rsid w:val="00C83655"/>
    <w:rsid w:val="00CA11C1"/>
    <w:rsid w:val="00CA4CA1"/>
    <w:rsid w:val="00CB47C8"/>
    <w:rsid w:val="00CB6BEF"/>
    <w:rsid w:val="00CB7281"/>
    <w:rsid w:val="00CC147D"/>
    <w:rsid w:val="00CC4605"/>
    <w:rsid w:val="00CC5283"/>
    <w:rsid w:val="00CC60B8"/>
    <w:rsid w:val="00CD5FA1"/>
    <w:rsid w:val="00CD7BFB"/>
    <w:rsid w:val="00CE4F74"/>
    <w:rsid w:val="00CF5D31"/>
    <w:rsid w:val="00D001E9"/>
    <w:rsid w:val="00D0084F"/>
    <w:rsid w:val="00D026F9"/>
    <w:rsid w:val="00D04EDB"/>
    <w:rsid w:val="00D066BD"/>
    <w:rsid w:val="00D12546"/>
    <w:rsid w:val="00D132A3"/>
    <w:rsid w:val="00D15A86"/>
    <w:rsid w:val="00D21F48"/>
    <w:rsid w:val="00D25D30"/>
    <w:rsid w:val="00D41C86"/>
    <w:rsid w:val="00D43321"/>
    <w:rsid w:val="00D44E3E"/>
    <w:rsid w:val="00D47E94"/>
    <w:rsid w:val="00D53295"/>
    <w:rsid w:val="00D55DBF"/>
    <w:rsid w:val="00D61320"/>
    <w:rsid w:val="00D700FC"/>
    <w:rsid w:val="00D7478F"/>
    <w:rsid w:val="00D830A8"/>
    <w:rsid w:val="00D86431"/>
    <w:rsid w:val="00D86C6C"/>
    <w:rsid w:val="00D871C2"/>
    <w:rsid w:val="00D901B3"/>
    <w:rsid w:val="00D966DC"/>
    <w:rsid w:val="00DA1EF8"/>
    <w:rsid w:val="00DA1FA1"/>
    <w:rsid w:val="00DA4664"/>
    <w:rsid w:val="00DB47BD"/>
    <w:rsid w:val="00DB5D86"/>
    <w:rsid w:val="00DC1721"/>
    <w:rsid w:val="00DC259A"/>
    <w:rsid w:val="00DC36B2"/>
    <w:rsid w:val="00DC7494"/>
    <w:rsid w:val="00DC79A5"/>
    <w:rsid w:val="00DD0F0E"/>
    <w:rsid w:val="00DD4D6E"/>
    <w:rsid w:val="00DD7ACC"/>
    <w:rsid w:val="00DE0A36"/>
    <w:rsid w:val="00DE10A0"/>
    <w:rsid w:val="00DE27AE"/>
    <w:rsid w:val="00DE27E4"/>
    <w:rsid w:val="00DE3104"/>
    <w:rsid w:val="00E01AEE"/>
    <w:rsid w:val="00E03865"/>
    <w:rsid w:val="00E0400C"/>
    <w:rsid w:val="00E06975"/>
    <w:rsid w:val="00E07FA2"/>
    <w:rsid w:val="00E12B9B"/>
    <w:rsid w:val="00E15B18"/>
    <w:rsid w:val="00E21142"/>
    <w:rsid w:val="00E227D4"/>
    <w:rsid w:val="00E24CD4"/>
    <w:rsid w:val="00E26AB9"/>
    <w:rsid w:val="00E275A3"/>
    <w:rsid w:val="00E3287E"/>
    <w:rsid w:val="00E33E5B"/>
    <w:rsid w:val="00E464B4"/>
    <w:rsid w:val="00E5633C"/>
    <w:rsid w:val="00E72809"/>
    <w:rsid w:val="00E74429"/>
    <w:rsid w:val="00E745A7"/>
    <w:rsid w:val="00E75943"/>
    <w:rsid w:val="00E849D9"/>
    <w:rsid w:val="00E86764"/>
    <w:rsid w:val="00E87267"/>
    <w:rsid w:val="00E91FFB"/>
    <w:rsid w:val="00E93942"/>
    <w:rsid w:val="00E93AE1"/>
    <w:rsid w:val="00E95C9E"/>
    <w:rsid w:val="00EA2184"/>
    <w:rsid w:val="00EB01BD"/>
    <w:rsid w:val="00EB100D"/>
    <w:rsid w:val="00EC209C"/>
    <w:rsid w:val="00ED15A3"/>
    <w:rsid w:val="00ED4B04"/>
    <w:rsid w:val="00EE2E2B"/>
    <w:rsid w:val="00EE319E"/>
    <w:rsid w:val="00EE58A1"/>
    <w:rsid w:val="00EE7FAB"/>
    <w:rsid w:val="00F02248"/>
    <w:rsid w:val="00F17C3A"/>
    <w:rsid w:val="00F274BC"/>
    <w:rsid w:val="00F33E61"/>
    <w:rsid w:val="00F44476"/>
    <w:rsid w:val="00F47BB1"/>
    <w:rsid w:val="00F5354E"/>
    <w:rsid w:val="00F60BF4"/>
    <w:rsid w:val="00F6230C"/>
    <w:rsid w:val="00F70C8E"/>
    <w:rsid w:val="00F74A02"/>
    <w:rsid w:val="00F77256"/>
    <w:rsid w:val="00F77A16"/>
    <w:rsid w:val="00F86111"/>
    <w:rsid w:val="00F87C73"/>
    <w:rsid w:val="00F90537"/>
    <w:rsid w:val="00F90FD8"/>
    <w:rsid w:val="00F942BE"/>
    <w:rsid w:val="00F9529A"/>
    <w:rsid w:val="00F97343"/>
    <w:rsid w:val="00FB0FEC"/>
    <w:rsid w:val="00FC235B"/>
    <w:rsid w:val="00FC2B42"/>
    <w:rsid w:val="00FC5346"/>
    <w:rsid w:val="00FC7028"/>
    <w:rsid w:val="00FD1600"/>
    <w:rsid w:val="00FD5859"/>
    <w:rsid w:val="00FD6722"/>
    <w:rsid w:val="00FD685B"/>
    <w:rsid w:val="00FE568D"/>
    <w:rsid w:val="00FE636C"/>
    <w:rsid w:val="00FF67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51387"/>
  <w15:docId w15:val="{94016D08-D760-4BCC-A1C4-8F7B27E7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664"/>
    <w:pPr>
      <w:spacing w:after="0" w:line="240" w:lineRule="auto"/>
    </w:pPr>
    <w:rPr>
      <w:rFonts w:ascii="Myriad Pro" w:hAnsi="Myriad Pro"/>
    </w:rPr>
  </w:style>
  <w:style w:type="paragraph" w:styleId="Heading1">
    <w:name w:val="heading 1"/>
    <w:basedOn w:val="Normal"/>
    <w:next w:val="Normal"/>
    <w:link w:val="Heading1Char"/>
    <w:uiPriority w:val="9"/>
    <w:qFormat/>
    <w:rsid w:val="00A220F8"/>
    <w:pPr>
      <w:keepNext/>
      <w:keepLines/>
      <w:spacing w:before="24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4AE9"/>
    <w:pPr>
      <w:keepNext/>
      <w:keepLines/>
      <w:spacing w:before="40"/>
      <w:outlineLvl w:val="1"/>
    </w:pPr>
    <w:rPr>
      <w:rFonts w:eastAsiaTheme="majorEastAsia" w:cstheme="majorBidi"/>
      <w:b/>
      <w:i/>
      <w:color w:val="FF6D14"/>
      <w:sz w:val="24"/>
      <w:szCs w:val="26"/>
    </w:rPr>
  </w:style>
  <w:style w:type="paragraph" w:styleId="Heading3">
    <w:name w:val="heading 3"/>
    <w:basedOn w:val="Normal"/>
    <w:next w:val="Normal"/>
    <w:link w:val="Heading3Char"/>
    <w:uiPriority w:val="9"/>
    <w:unhideWhenUsed/>
    <w:qFormat/>
    <w:rsid w:val="008767B1"/>
    <w:pPr>
      <w:keepNext/>
      <w:keepLines/>
      <w:outlineLvl w:val="2"/>
    </w:pPr>
    <w:rPr>
      <w:rFonts w:eastAsiaTheme="majorEastAsia" w:cstheme="majorBidi"/>
      <w:i/>
      <w:sz w:val="24"/>
      <w:szCs w:val="24"/>
    </w:rPr>
  </w:style>
  <w:style w:type="paragraph" w:styleId="Heading4">
    <w:name w:val="heading 4"/>
    <w:basedOn w:val="Normal"/>
    <w:next w:val="Normal"/>
    <w:link w:val="Heading4Char"/>
    <w:uiPriority w:val="9"/>
    <w:unhideWhenUsed/>
    <w:qFormat/>
    <w:rsid w:val="00E15B18"/>
    <w:pPr>
      <w:keepNext/>
      <w:keepLines/>
      <w:spacing w:before="40"/>
      <w:outlineLvl w:val="3"/>
    </w:pPr>
    <w:rPr>
      <w:rFonts w:eastAsiaTheme="majorEastAsia" w:cstheme="majorBidi"/>
      <w:b/>
      <w:i/>
      <w:iCs/>
      <w:color w:val="7AB800"/>
      <w:sz w:val="24"/>
    </w:rPr>
  </w:style>
  <w:style w:type="paragraph" w:styleId="Heading5">
    <w:name w:val="heading 5"/>
    <w:basedOn w:val="Normal"/>
    <w:next w:val="Normal"/>
    <w:link w:val="Heading5Char"/>
    <w:uiPriority w:val="9"/>
    <w:unhideWhenUsed/>
    <w:qFormat/>
    <w:rsid w:val="00A220F8"/>
    <w:pPr>
      <w:keepNext/>
      <w:keepLines/>
      <w:spacing w:before="40"/>
      <w:outlineLvl w:val="4"/>
    </w:pPr>
    <w:rPr>
      <w:rFonts w:eastAsiaTheme="majorEastAsia"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CC8"/>
    <w:rPr>
      <w:color w:val="808080"/>
    </w:rPr>
  </w:style>
  <w:style w:type="paragraph" w:styleId="Title">
    <w:name w:val="Title"/>
    <w:basedOn w:val="Normal"/>
    <w:next w:val="Normal"/>
    <w:link w:val="TitleChar"/>
    <w:uiPriority w:val="10"/>
    <w:qFormat/>
    <w:rsid w:val="001D7CC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CC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220F8"/>
    <w:rPr>
      <w:rFonts w:ascii="Myriad Pro" w:eastAsiaTheme="majorEastAsia" w:hAnsi="Myriad Pro" w:cstheme="majorBidi"/>
      <w:color w:val="2E74B5" w:themeColor="accent1" w:themeShade="BF"/>
      <w:sz w:val="32"/>
      <w:szCs w:val="32"/>
    </w:rPr>
  </w:style>
  <w:style w:type="character" w:customStyle="1" w:styleId="Heading2Char">
    <w:name w:val="Heading 2 Char"/>
    <w:basedOn w:val="DefaultParagraphFont"/>
    <w:link w:val="Heading2"/>
    <w:uiPriority w:val="9"/>
    <w:rsid w:val="001A4AE9"/>
    <w:rPr>
      <w:rFonts w:ascii="Myriad Pro" w:eastAsiaTheme="majorEastAsia" w:hAnsi="Myriad Pro" w:cstheme="majorBidi"/>
      <w:b/>
      <w:i/>
      <w:color w:val="FF6D14"/>
      <w:sz w:val="24"/>
      <w:szCs w:val="26"/>
    </w:rPr>
  </w:style>
  <w:style w:type="paragraph" w:styleId="Header">
    <w:name w:val="header"/>
    <w:basedOn w:val="Normal"/>
    <w:link w:val="HeaderChar"/>
    <w:uiPriority w:val="99"/>
    <w:unhideWhenUsed/>
    <w:rsid w:val="001D7CC8"/>
    <w:pPr>
      <w:tabs>
        <w:tab w:val="center" w:pos="4680"/>
        <w:tab w:val="right" w:pos="9360"/>
      </w:tabs>
    </w:pPr>
  </w:style>
  <w:style w:type="character" w:customStyle="1" w:styleId="HeaderChar">
    <w:name w:val="Header Char"/>
    <w:basedOn w:val="DefaultParagraphFont"/>
    <w:link w:val="Header"/>
    <w:uiPriority w:val="99"/>
    <w:rsid w:val="001D7CC8"/>
  </w:style>
  <w:style w:type="paragraph" w:styleId="Footer">
    <w:name w:val="footer"/>
    <w:basedOn w:val="Normal"/>
    <w:link w:val="FooterChar"/>
    <w:uiPriority w:val="99"/>
    <w:unhideWhenUsed/>
    <w:rsid w:val="001D7CC8"/>
    <w:pPr>
      <w:tabs>
        <w:tab w:val="center" w:pos="4680"/>
        <w:tab w:val="right" w:pos="9360"/>
      </w:tabs>
    </w:pPr>
  </w:style>
  <w:style w:type="character" w:customStyle="1" w:styleId="FooterChar">
    <w:name w:val="Footer Char"/>
    <w:basedOn w:val="DefaultParagraphFont"/>
    <w:link w:val="Footer"/>
    <w:uiPriority w:val="99"/>
    <w:rsid w:val="001D7CC8"/>
  </w:style>
  <w:style w:type="character" w:customStyle="1" w:styleId="Heading3Char">
    <w:name w:val="Heading 3 Char"/>
    <w:basedOn w:val="DefaultParagraphFont"/>
    <w:link w:val="Heading3"/>
    <w:uiPriority w:val="9"/>
    <w:rsid w:val="008767B1"/>
    <w:rPr>
      <w:rFonts w:ascii="Myriad Pro" w:eastAsiaTheme="majorEastAsia" w:hAnsi="Myriad Pro" w:cstheme="majorBidi"/>
      <w:i/>
      <w:sz w:val="24"/>
      <w:szCs w:val="24"/>
    </w:rPr>
  </w:style>
  <w:style w:type="paragraph" w:styleId="ListParagraph">
    <w:name w:val="List Paragraph"/>
    <w:basedOn w:val="Normal"/>
    <w:uiPriority w:val="34"/>
    <w:qFormat/>
    <w:rsid w:val="00CA4CA1"/>
    <w:pPr>
      <w:ind w:left="720"/>
      <w:contextualSpacing/>
    </w:pPr>
  </w:style>
  <w:style w:type="character" w:customStyle="1" w:styleId="Heading4Char">
    <w:name w:val="Heading 4 Char"/>
    <w:basedOn w:val="DefaultParagraphFont"/>
    <w:link w:val="Heading4"/>
    <w:uiPriority w:val="9"/>
    <w:rsid w:val="00E15B18"/>
    <w:rPr>
      <w:rFonts w:ascii="Myriad Pro" w:eastAsiaTheme="majorEastAsia" w:hAnsi="Myriad Pro" w:cstheme="majorBidi"/>
      <w:b/>
      <w:i/>
      <w:iCs/>
      <w:color w:val="7AB800"/>
      <w:sz w:val="24"/>
    </w:rPr>
  </w:style>
  <w:style w:type="paragraph" w:styleId="NoSpacing">
    <w:name w:val="No Spacing"/>
    <w:uiPriority w:val="1"/>
    <w:qFormat/>
    <w:rsid w:val="00A220F8"/>
    <w:pPr>
      <w:spacing w:after="0" w:line="240" w:lineRule="auto"/>
    </w:pPr>
    <w:rPr>
      <w:rFonts w:ascii="Myriad Pro" w:hAnsi="Myriad Pro"/>
    </w:rPr>
  </w:style>
  <w:style w:type="character" w:customStyle="1" w:styleId="Heading5Char">
    <w:name w:val="Heading 5 Char"/>
    <w:basedOn w:val="DefaultParagraphFont"/>
    <w:link w:val="Heading5"/>
    <w:uiPriority w:val="9"/>
    <w:rsid w:val="00A220F8"/>
    <w:rPr>
      <w:rFonts w:ascii="Myriad Pro" w:eastAsiaTheme="majorEastAsia" w:hAnsi="Myriad Pro" w:cstheme="majorBidi"/>
      <w:color w:val="2E74B5" w:themeColor="accent1" w:themeShade="BF"/>
    </w:rPr>
  </w:style>
  <w:style w:type="character" w:styleId="CommentReference">
    <w:name w:val="annotation reference"/>
    <w:basedOn w:val="DefaultParagraphFont"/>
    <w:uiPriority w:val="99"/>
    <w:semiHidden/>
    <w:unhideWhenUsed/>
    <w:rsid w:val="00716C35"/>
    <w:rPr>
      <w:sz w:val="16"/>
      <w:szCs w:val="16"/>
    </w:rPr>
  </w:style>
  <w:style w:type="paragraph" w:styleId="CommentText">
    <w:name w:val="annotation text"/>
    <w:basedOn w:val="Normal"/>
    <w:link w:val="CommentTextChar"/>
    <w:uiPriority w:val="99"/>
    <w:unhideWhenUsed/>
    <w:rsid w:val="00716C35"/>
    <w:rPr>
      <w:sz w:val="20"/>
      <w:szCs w:val="20"/>
    </w:rPr>
  </w:style>
  <w:style w:type="character" w:customStyle="1" w:styleId="CommentTextChar">
    <w:name w:val="Comment Text Char"/>
    <w:basedOn w:val="DefaultParagraphFont"/>
    <w:link w:val="CommentText"/>
    <w:uiPriority w:val="99"/>
    <w:rsid w:val="00716C35"/>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716C35"/>
    <w:rPr>
      <w:b/>
      <w:bCs/>
    </w:rPr>
  </w:style>
  <w:style w:type="character" w:customStyle="1" w:styleId="CommentSubjectChar">
    <w:name w:val="Comment Subject Char"/>
    <w:basedOn w:val="CommentTextChar"/>
    <w:link w:val="CommentSubject"/>
    <w:uiPriority w:val="99"/>
    <w:semiHidden/>
    <w:rsid w:val="00716C35"/>
    <w:rPr>
      <w:rFonts w:ascii="Myriad Pro" w:hAnsi="Myriad Pro"/>
      <w:b/>
      <w:bCs/>
      <w:sz w:val="20"/>
      <w:szCs w:val="20"/>
    </w:rPr>
  </w:style>
  <w:style w:type="paragraph" w:styleId="BalloonText">
    <w:name w:val="Balloon Text"/>
    <w:basedOn w:val="Normal"/>
    <w:link w:val="BalloonTextChar"/>
    <w:uiPriority w:val="99"/>
    <w:semiHidden/>
    <w:unhideWhenUsed/>
    <w:rsid w:val="00716C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C35"/>
    <w:rPr>
      <w:rFonts w:ascii="Segoe UI" w:hAnsi="Segoe UI" w:cs="Segoe UI"/>
      <w:sz w:val="18"/>
      <w:szCs w:val="18"/>
    </w:rPr>
  </w:style>
  <w:style w:type="paragraph" w:customStyle="1" w:styleId="Style1">
    <w:name w:val="Style1"/>
    <w:basedOn w:val="Heading1"/>
    <w:link w:val="Style1Char"/>
    <w:qFormat/>
    <w:rsid w:val="00A24EB2"/>
    <w:pPr>
      <w:numPr>
        <w:numId w:val="4"/>
      </w:numPr>
      <w:spacing w:before="0"/>
    </w:pPr>
    <w:rPr>
      <w:noProof/>
      <w:color w:val="009AA6"/>
    </w:rPr>
  </w:style>
  <w:style w:type="table" w:styleId="TableGrid">
    <w:name w:val="Table Grid"/>
    <w:basedOn w:val="TableNormal"/>
    <w:uiPriority w:val="39"/>
    <w:rsid w:val="00A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Heading1Char"/>
    <w:link w:val="Style1"/>
    <w:rsid w:val="00A24EB2"/>
    <w:rPr>
      <w:rFonts w:ascii="Myriad Pro" w:eastAsiaTheme="majorEastAsia" w:hAnsi="Myriad Pro" w:cstheme="majorBidi"/>
      <w:noProof/>
      <w:color w:val="009AA6"/>
      <w:sz w:val="32"/>
      <w:szCs w:val="32"/>
    </w:rPr>
  </w:style>
  <w:style w:type="character" w:styleId="Hyperlink">
    <w:name w:val="Hyperlink"/>
    <w:basedOn w:val="DefaultParagraphFont"/>
    <w:uiPriority w:val="99"/>
    <w:unhideWhenUsed/>
    <w:rsid w:val="00355AD9"/>
    <w:rPr>
      <w:color w:val="0563C1" w:themeColor="hyperlink"/>
      <w:u w:val="single"/>
    </w:rPr>
  </w:style>
  <w:style w:type="paragraph" w:styleId="TOCHeading">
    <w:name w:val="TOC Heading"/>
    <w:basedOn w:val="Heading1"/>
    <w:next w:val="Normal"/>
    <w:uiPriority w:val="39"/>
    <w:unhideWhenUsed/>
    <w:qFormat/>
    <w:rsid w:val="00355AD9"/>
    <w:pPr>
      <w:outlineLvl w:val="9"/>
    </w:pPr>
    <w:rPr>
      <w:rFonts w:asciiTheme="majorHAnsi" w:hAnsiTheme="majorHAnsi"/>
    </w:rPr>
  </w:style>
  <w:style w:type="paragraph" w:styleId="TOC1">
    <w:name w:val="toc 1"/>
    <w:basedOn w:val="Normal"/>
    <w:next w:val="Normal"/>
    <w:autoRedefine/>
    <w:uiPriority w:val="39"/>
    <w:unhideWhenUsed/>
    <w:rsid w:val="00355AD9"/>
    <w:pPr>
      <w:spacing w:after="100"/>
    </w:pPr>
  </w:style>
  <w:style w:type="paragraph" w:styleId="TOC2">
    <w:name w:val="toc 2"/>
    <w:basedOn w:val="Normal"/>
    <w:next w:val="Normal"/>
    <w:autoRedefine/>
    <w:uiPriority w:val="39"/>
    <w:unhideWhenUsed/>
    <w:rsid w:val="00355AD9"/>
    <w:pPr>
      <w:spacing w:after="100"/>
      <w:ind w:left="220"/>
    </w:pPr>
  </w:style>
  <w:style w:type="paragraph" w:styleId="TOC3">
    <w:name w:val="toc 3"/>
    <w:basedOn w:val="Normal"/>
    <w:next w:val="Normal"/>
    <w:autoRedefine/>
    <w:uiPriority w:val="39"/>
    <w:unhideWhenUsed/>
    <w:rsid w:val="0075539F"/>
    <w:pPr>
      <w:tabs>
        <w:tab w:val="right" w:leader="dot" w:pos="9350"/>
      </w:tabs>
      <w:spacing w:after="100"/>
      <w:ind w:left="440"/>
    </w:pPr>
    <w:rPr>
      <w:b/>
      <w:noProof/>
    </w:rPr>
  </w:style>
  <w:style w:type="paragraph" w:styleId="Revision">
    <w:name w:val="Revision"/>
    <w:hidden/>
    <w:uiPriority w:val="99"/>
    <w:semiHidden/>
    <w:rsid w:val="00243EA2"/>
    <w:pPr>
      <w:spacing w:after="0" w:line="240" w:lineRule="auto"/>
    </w:pPr>
    <w:rPr>
      <w:rFonts w:ascii="Myriad Pro" w:hAnsi="Myriad Pro"/>
    </w:rPr>
  </w:style>
  <w:style w:type="paragraph" w:styleId="NormalWeb">
    <w:name w:val="Normal (Web)"/>
    <w:basedOn w:val="Normal"/>
    <w:uiPriority w:val="99"/>
    <w:semiHidden/>
    <w:unhideWhenUsed/>
    <w:rsid w:val="00E93942"/>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A367B"/>
    <w:rPr>
      <w:color w:val="954F72" w:themeColor="followedHyperlink"/>
      <w:u w:val="single"/>
    </w:rPr>
  </w:style>
  <w:style w:type="paragraph" w:styleId="FootnoteText">
    <w:name w:val="footnote text"/>
    <w:basedOn w:val="Normal"/>
    <w:link w:val="FootnoteTextChar"/>
    <w:uiPriority w:val="99"/>
    <w:semiHidden/>
    <w:unhideWhenUsed/>
    <w:rsid w:val="007A367B"/>
    <w:rPr>
      <w:sz w:val="20"/>
      <w:szCs w:val="20"/>
    </w:rPr>
  </w:style>
  <w:style w:type="character" w:customStyle="1" w:styleId="FootnoteTextChar">
    <w:name w:val="Footnote Text Char"/>
    <w:basedOn w:val="DefaultParagraphFont"/>
    <w:link w:val="FootnoteText"/>
    <w:uiPriority w:val="99"/>
    <w:semiHidden/>
    <w:rsid w:val="007A367B"/>
    <w:rPr>
      <w:rFonts w:ascii="Myriad Pro" w:hAnsi="Myriad Pro"/>
      <w:sz w:val="20"/>
      <w:szCs w:val="20"/>
    </w:rPr>
  </w:style>
  <w:style w:type="character" w:styleId="FootnoteReference">
    <w:name w:val="footnote reference"/>
    <w:basedOn w:val="DefaultParagraphFont"/>
    <w:uiPriority w:val="99"/>
    <w:semiHidden/>
    <w:unhideWhenUsed/>
    <w:rsid w:val="007A367B"/>
    <w:rPr>
      <w:vertAlign w:val="superscript"/>
    </w:rPr>
  </w:style>
  <w:style w:type="character" w:customStyle="1" w:styleId="UnresolvedMention1">
    <w:name w:val="Unresolved Mention1"/>
    <w:basedOn w:val="DefaultParagraphFont"/>
    <w:uiPriority w:val="99"/>
    <w:semiHidden/>
    <w:unhideWhenUsed/>
    <w:rsid w:val="00C051F0"/>
    <w:rPr>
      <w:color w:val="808080"/>
      <w:shd w:val="clear" w:color="auto" w:fill="E6E6E6"/>
    </w:rPr>
  </w:style>
  <w:style w:type="paragraph" w:styleId="EndnoteText">
    <w:name w:val="endnote text"/>
    <w:basedOn w:val="Normal"/>
    <w:link w:val="EndnoteTextChar"/>
    <w:uiPriority w:val="99"/>
    <w:semiHidden/>
    <w:unhideWhenUsed/>
    <w:rsid w:val="002D06F9"/>
    <w:rPr>
      <w:sz w:val="20"/>
      <w:szCs w:val="20"/>
    </w:rPr>
  </w:style>
  <w:style w:type="character" w:customStyle="1" w:styleId="EndnoteTextChar">
    <w:name w:val="Endnote Text Char"/>
    <w:basedOn w:val="DefaultParagraphFont"/>
    <w:link w:val="EndnoteText"/>
    <w:uiPriority w:val="99"/>
    <w:semiHidden/>
    <w:rsid w:val="002D06F9"/>
    <w:rPr>
      <w:rFonts w:ascii="Myriad Pro" w:hAnsi="Myriad Pro"/>
      <w:sz w:val="20"/>
      <w:szCs w:val="20"/>
    </w:rPr>
  </w:style>
  <w:style w:type="character" w:styleId="EndnoteReference">
    <w:name w:val="endnote reference"/>
    <w:basedOn w:val="DefaultParagraphFont"/>
    <w:uiPriority w:val="99"/>
    <w:semiHidden/>
    <w:unhideWhenUsed/>
    <w:rsid w:val="002D06F9"/>
    <w:rPr>
      <w:vertAlign w:val="superscript"/>
    </w:rPr>
  </w:style>
  <w:style w:type="character" w:customStyle="1" w:styleId="tl8wme">
    <w:name w:val="tl8wme"/>
    <w:basedOn w:val="DefaultParagraphFont"/>
    <w:rsid w:val="00253CB0"/>
  </w:style>
  <w:style w:type="character" w:customStyle="1" w:styleId="UnresolvedMention2">
    <w:name w:val="Unresolved Mention2"/>
    <w:basedOn w:val="DefaultParagraphFont"/>
    <w:uiPriority w:val="99"/>
    <w:semiHidden/>
    <w:unhideWhenUsed/>
    <w:rsid w:val="00137AFC"/>
    <w:rPr>
      <w:color w:val="808080"/>
      <w:shd w:val="clear" w:color="auto" w:fill="E6E6E6"/>
    </w:rPr>
  </w:style>
  <w:style w:type="character" w:customStyle="1" w:styleId="UnresolvedMention">
    <w:name w:val="Unresolved Mention"/>
    <w:basedOn w:val="DefaultParagraphFont"/>
    <w:uiPriority w:val="99"/>
    <w:semiHidden/>
    <w:unhideWhenUsed/>
    <w:rsid w:val="008461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62394">
      <w:bodyDiv w:val="1"/>
      <w:marLeft w:val="0"/>
      <w:marRight w:val="0"/>
      <w:marTop w:val="0"/>
      <w:marBottom w:val="0"/>
      <w:divBdr>
        <w:top w:val="none" w:sz="0" w:space="0" w:color="auto"/>
        <w:left w:val="none" w:sz="0" w:space="0" w:color="auto"/>
        <w:bottom w:val="none" w:sz="0" w:space="0" w:color="auto"/>
        <w:right w:val="none" w:sz="0" w:space="0" w:color="auto"/>
      </w:divBdr>
      <w:divsChild>
        <w:div w:id="671418491">
          <w:marLeft w:val="547"/>
          <w:marRight w:val="0"/>
          <w:marTop w:val="0"/>
          <w:marBottom w:val="0"/>
          <w:divBdr>
            <w:top w:val="none" w:sz="0" w:space="0" w:color="auto"/>
            <w:left w:val="none" w:sz="0" w:space="0" w:color="auto"/>
            <w:bottom w:val="none" w:sz="0" w:space="0" w:color="auto"/>
            <w:right w:val="none" w:sz="0" w:space="0" w:color="auto"/>
          </w:divBdr>
        </w:div>
        <w:div w:id="1263881755">
          <w:marLeft w:val="547"/>
          <w:marRight w:val="0"/>
          <w:marTop w:val="0"/>
          <w:marBottom w:val="0"/>
          <w:divBdr>
            <w:top w:val="none" w:sz="0" w:space="0" w:color="auto"/>
            <w:left w:val="none" w:sz="0" w:space="0" w:color="auto"/>
            <w:bottom w:val="none" w:sz="0" w:space="0" w:color="auto"/>
            <w:right w:val="none" w:sz="0" w:space="0" w:color="auto"/>
          </w:divBdr>
        </w:div>
      </w:divsChild>
    </w:div>
    <w:div w:id="210074524">
      <w:bodyDiv w:val="1"/>
      <w:marLeft w:val="0"/>
      <w:marRight w:val="0"/>
      <w:marTop w:val="0"/>
      <w:marBottom w:val="0"/>
      <w:divBdr>
        <w:top w:val="none" w:sz="0" w:space="0" w:color="auto"/>
        <w:left w:val="none" w:sz="0" w:space="0" w:color="auto"/>
        <w:bottom w:val="none" w:sz="0" w:space="0" w:color="auto"/>
        <w:right w:val="none" w:sz="0" w:space="0" w:color="auto"/>
      </w:divBdr>
      <w:divsChild>
        <w:div w:id="968902454">
          <w:marLeft w:val="403"/>
          <w:marRight w:val="0"/>
          <w:marTop w:val="0"/>
          <w:marBottom w:val="0"/>
          <w:divBdr>
            <w:top w:val="none" w:sz="0" w:space="0" w:color="auto"/>
            <w:left w:val="none" w:sz="0" w:space="0" w:color="auto"/>
            <w:bottom w:val="none" w:sz="0" w:space="0" w:color="auto"/>
            <w:right w:val="none" w:sz="0" w:space="0" w:color="auto"/>
          </w:divBdr>
        </w:div>
      </w:divsChild>
    </w:div>
    <w:div w:id="367531720">
      <w:bodyDiv w:val="1"/>
      <w:marLeft w:val="0"/>
      <w:marRight w:val="0"/>
      <w:marTop w:val="0"/>
      <w:marBottom w:val="0"/>
      <w:divBdr>
        <w:top w:val="none" w:sz="0" w:space="0" w:color="auto"/>
        <w:left w:val="none" w:sz="0" w:space="0" w:color="auto"/>
        <w:bottom w:val="none" w:sz="0" w:space="0" w:color="auto"/>
        <w:right w:val="none" w:sz="0" w:space="0" w:color="auto"/>
      </w:divBdr>
    </w:div>
    <w:div w:id="457376154">
      <w:bodyDiv w:val="1"/>
      <w:marLeft w:val="0"/>
      <w:marRight w:val="0"/>
      <w:marTop w:val="0"/>
      <w:marBottom w:val="0"/>
      <w:divBdr>
        <w:top w:val="none" w:sz="0" w:space="0" w:color="auto"/>
        <w:left w:val="none" w:sz="0" w:space="0" w:color="auto"/>
        <w:bottom w:val="none" w:sz="0" w:space="0" w:color="auto"/>
        <w:right w:val="none" w:sz="0" w:space="0" w:color="auto"/>
      </w:divBdr>
      <w:divsChild>
        <w:div w:id="4749514">
          <w:marLeft w:val="533"/>
          <w:marRight w:val="0"/>
          <w:marTop w:val="0"/>
          <w:marBottom w:val="0"/>
          <w:divBdr>
            <w:top w:val="none" w:sz="0" w:space="0" w:color="auto"/>
            <w:left w:val="none" w:sz="0" w:space="0" w:color="auto"/>
            <w:bottom w:val="none" w:sz="0" w:space="0" w:color="auto"/>
            <w:right w:val="none" w:sz="0" w:space="0" w:color="auto"/>
          </w:divBdr>
        </w:div>
        <w:div w:id="280959778">
          <w:marLeft w:val="533"/>
          <w:marRight w:val="0"/>
          <w:marTop w:val="0"/>
          <w:marBottom w:val="0"/>
          <w:divBdr>
            <w:top w:val="none" w:sz="0" w:space="0" w:color="auto"/>
            <w:left w:val="none" w:sz="0" w:space="0" w:color="auto"/>
            <w:bottom w:val="none" w:sz="0" w:space="0" w:color="auto"/>
            <w:right w:val="none" w:sz="0" w:space="0" w:color="auto"/>
          </w:divBdr>
        </w:div>
        <w:div w:id="1133870660">
          <w:marLeft w:val="1080"/>
          <w:marRight w:val="0"/>
          <w:marTop w:val="0"/>
          <w:marBottom w:val="0"/>
          <w:divBdr>
            <w:top w:val="none" w:sz="0" w:space="0" w:color="auto"/>
            <w:left w:val="none" w:sz="0" w:space="0" w:color="auto"/>
            <w:bottom w:val="none" w:sz="0" w:space="0" w:color="auto"/>
            <w:right w:val="none" w:sz="0" w:space="0" w:color="auto"/>
          </w:divBdr>
        </w:div>
        <w:div w:id="1223247115">
          <w:marLeft w:val="533"/>
          <w:marRight w:val="0"/>
          <w:marTop w:val="0"/>
          <w:marBottom w:val="0"/>
          <w:divBdr>
            <w:top w:val="none" w:sz="0" w:space="0" w:color="auto"/>
            <w:left w:val="none" w:sz="0" w:space="0" w:color="auto"/>
            <w:bottom w:val="none" w:sz="0" w:space="0" w:color="auto"/>
            <w:right w:val="none" w:sz="0" w:space="0" w:color="auto"/>
          </w:divBdr>
        </w:div>
        <w:div w:id="1506440712">
          <w:marLeft w:val="533"/>
          <w:marRight w:val="0"/>
          <w:marTop w:val="0"/>
          <w:marBottom w:val="0"/>
          <w:divBdr>
            <w:top w:val="none" w:sz="0" w:space="0" w:color="auto"/>
            <w:left w:val="none" w:sz="0" w:space="0" w:color="auto"/>
            <w:bottom w:val="none" w:sz="0" w:space="0" w:color="auto"/>
            <w:right w:val="none" w:sz="0" w:space="0" w:color="auto"/>
          </w:divBdr>
        </w:div>
        <w:div w:id="1684629460">
          <w:marLeft w:val="533"/>
          <w:marRight w:val="0"/>
          <w:marTop w:val="0"/>
          <w:marBottom w:val="0"/>
          <w:divBdr>
            <w:top w:val="none" w:sz="0" w:space="0" w:color="auto"/>
            <w:left w:val="none" w:sz="0" w:space="0" w:color="auto"/>
            <w:bottom w:val="none" w:sz="0" w:space="0" w:color="auto"/>
            <w:right w:val="none" w:sz="0" w:space="0" w:color="auto"/>
          </w:divBdr>
        </w:div>
      </w:divsChild>
    </w:div>
    <w:div w:id="518736409">
      <w:bodyDiv w:val="1"/>
      <w:marLeft w:val="0"/>
      <w:marRight w:val="0"/>
      <w:marTop w:val="0"/>
      <w:marBottom w:val="0"/>
      <w:divBdr>
        <w:top w:val="none" w:sz="0" w:space="0" w:color="auto"/>
        <w:left w:val="none" w:sz="0" w:space="0" w:color="auto"/>
        <w:bottom w:val="none" w:sz="0" w:space="0" w:color="auto"/>
        <w:right w:val="none" w:sz="0" w:space="0" w:color="auto"/>
      </w:divBdr>
    </w:div>
    <w:div w:id="545606365">
      <w:bodyDiv w:val="1"/>
      <w:marLeft w:val="0"/>
      <w:marRight w:val="0"/>
      <w:marTop w:val="0"/>
      <w:marBottom w:val="0"/>
      <w:divBdr>
        <w:top w:val="none" w:sz="0" w:space="0" w:color="auto"/>
        <w:left w:val="none" w:sz="0" w:space="0" w:color="auto"/>
        <w:bottom w:val="none" w:sz="0" w:space="0" w:color="auto"/>
        <w:right w:val="none" w:sz="0" w:space="0" w:color="auto"/>
      </w:divBdr>
      <w:divsChild>
        <w:div w:id="177087919">
          <w:marLeft w:val="720"/>
          <w:marRight w:val="0"/>
          <w:marTop w:val="0"/>
          <w:marBottom w:val="0"/>
          <w:divBdr>
            <w:top w:val="none" w:sz="0" w:space="0" w:color="auto"/>
            <w:left w:val="none" w:sz="0" w:space="0" w:color="auto"/>
            <w:bottom w:val="none" w:sz="0" w:space="0" w:color="auto"/>
            <w:right w:val="none" w:sz="0" w:space="0" w:color="auto"/>
          </w:divBdr>
        </w:div>
        <w:div w:id="592129509">
          <w:marLeft w:val="720"/>
          <w:marRight w:val="0"/>
          <w:marTop w:val="0"/>
          <w:marBottom w:val="0"/>
          <w:divBdr>
            <w:top w:val="none" w:sz="0" w:space="0" w:color="auto"/>
            <w:left w:val="none" w:sz="0" w:space="0" w:color="auto"/>
            <w:bottom w:val="none" w:sz="0" w:space="0" w:color="auto"/>
            <w:right w:val="none" w:sz="0" w:space="0" w:color="auto"/>
          </w:divBdr>
        </w:div>
        <w:div w:id="769160184">
          <w:marLeft w:val="720"/>
          <w:marRight w:val="0"/>
          <w:marTop w:val="0"/>
          <w:marBottom w:val="0"/>
          <w:divBdr>
            <w:top w:val="none" w:sz="0" w:space="0" w:color="auto"/>
            <w:left w:val="none" w:sz="0" w:space="0" w:color="auto"/>
            <w:bottom w:val="none" w:sz="0" w:space="0" w:color="auto"/>
            <w:right w:val="none" w:sz="0" w:space="0" w:color="auto"/>
          </w:divBdr>
        </w:div>
        <w:div w:id="1983581705">
          <w:marLeft w:val="720"/>
          <w:marRight w:val="0"/>
          <w:marTop w:val="0"/>
          <w:marBottom w:val="0"/>
          <w:divBdr>
            <w:top w:val="none" w:sz="0" w:space="0" w:color="auto"/>
            <w:left w:val="none" w:sz="0" w:space="0" w:color="auto"/>
            <w:bottom w:val="none" w:sz="0" w:space="0" w:color="auto"/>
            <w:right w:val="none" w:sz="0" w:space="0" w:color="auto"/>
          </w:divBdr>
        </w:div>
        <w:div w:id="2002194876">
          <w:marLeft w:val="720"/>
          <w:marRight w:val="0"/>
          <w:marTop w:val="0"/>
          <w:marBottom w:val="0"/>
          <w:divBdr>
            <w:top w:val="none" w:sz="0" w:space="0" w:color="auto"/>
            <w:left w:val="none" w:sz="0" w:space="0" w:color="auto"/>
            <w:bottom w:val="none" w:sz="0" w:space="0" w:color="auto"/>
            <w:right w:val="none" w:sz="0" w:space="0" w:color="auto"/>
          </w:divBdr>
        </w:div>
      </w:divsChild>
    </w:div>
    <w:div w:id="624507643">
      <w:bodyDiv w:val="1"/>
      <w:marLeft w:val="0"/>
      <w:marRight w:val="0"/>
      <w:marTop w:val="0"/>
      <w:marBottom w:val="0"/>
      <w:divBdr>
        <w:top w:val="none" w:sz="0" w:space="0" w:color="auto"/>
        <w:left w:val="none" w:sz="0" w:space="0" w:color="auto"/>
        <w:bottom w:val="none" w:sz="0" w:space="0" w:color="auto"/>
        <w:right w:val="none" w:sz="0" w:space="0" w:color="auto"/>
      </w:divBdr>
      <w:divsChild>
        <w:div w:id="63987676">
          <w:marLeft w:val="547"/>
          <w:marRight w:val="0"/>
          <w:marTop w:val="0"/>
          <w:marBottom w:val="0"/>
          <w:divBdr>
            <w:top w:val="none" w:sz="0" w:space="0" w:color="auto"/>
            <w:left w:val="none" w:sz="0" w:space="0" w:color="auto"/>
            <w:bottom w:val="none" w:sz="0" w:space="0" w:color="auto"/>
            <w:right w:val="none" w:sz="0" w:space="0" w:color="auto"/>
          </w:divBdr>
        </w:div>
        <w:div w:id="238290771">
          <w:marLeft w:val="547"/>
          <w:marRight w:val="0"/>
          <w:marTop w:val="0"/>
          <w:marBottom w:val="0"/>
          <w:divBdr>
            <w:top w:val="none" w:sz="0" w:space="0" w:color="auto"/>
            <w:left w:val="none" w:sz="0" w:space="0" w:color="auto"/>
            <w:bottom w:val="none" w:sz="0" w:space="0" w:color="auto"/>
            <w:right w:val="none" w:sz="0" w:space="0" w:color="auto"/>
          </w:divBdr>
        </w:div>
        <w:div w:id="508719609">
          <w:marLeft w:val="1080"/>
          <w:marRight w:val="0"/>
          <w:marTop w:val="0"/>
          <w:marBottom w:val="0"/>
          <w:divBdr>
            <w:top w:val="none" w:sz="0" w:space="0" w:color="auto"/>
            <w:left w:val="none" w:sz="0" w:space="0" w:color="auto"/>
            <w:bottom w:val="none" w:sz="0" w:space="0" w:color="auto"/>
            <w:right w:val="none" w:sz="0" w:space="0" w:color="auto"/>
          </w:divBdr>
        </w:div>
        <w:div w:id="1552108661">
          <w:marLeft w:val="547"/>
          <w:marRight w:val="0"/>
          <w:marTop w:val="0"/>
          <w:marBottom w:val="0"/>
          <w:divBdr>
            <w:top w:val="none" w:sz="0" w:space="0" w:color="auto"/>
            <w:left w:val="none" w:sz="0" w:space="0" w:color="auto"/>
            <w:bottom w:val="none" w:sz="0" w:space="0" w:color="auto"/>
            <w:right w:val="none" w:sz="0" w:space="0" w:color="auto"/>
          </w:divBdr>
        </w:div>
        <w:div w:id="2137791886">
          <w:marLeft w:val="547"/>
          <w:marRight w:val="0"/>
          <w:marTop w:val="0"/>
          <w:marBottom w:val="0"/>
          <w:divBdr>
            <w:top w:val="none" w:sz="0" w:space="0" w:color="auto"/>
            <w:left w:val="none" w:sz="0" w:space="0" w:color="auto"/>
            <w:bottom w:val="none" w:sz="0" w:space="0" w:color="auto"/>
            <w:right w:val="none" w:sz="0" w:space="0" w:color="auto"/>
          </w:divBdr>
        </w:div>
      </w:divsChild>
    </w:div>
    <w:div w:id="844595012">
      <w:bodyDiv w:val="1"/>
      <w:marLeft w:val="0"/>
      <w:marRight w:val="0"/>
      <w:marTop w:val="0"/>
      <w:marBottom w:val="0"/>
      <w:divBdr>
        <w:top w:val="none" w:sz="0" w:space="0" w:color="auto"/>
        <w:left w:val="none" w:sz="0" w:space="0" w:color="auto"/>
        <w:bottom w:val="none" w:sz="0" w:space="0" w:color="auto"/>
        <w:right w:val="none" w:sz="0" w:space="0" w:color="auto"/>
      </w:divBdr>
      <w:divsChild>
        <w:div w:id="709382077">
          <w:marLeft w:val="1080"/>
          <w:marRight w:val="0"/>
          <w:marTop w:val="100"/>
          <w:marBottom w:val="0"/>
          <w:divBdr>
            <w:top w:val="none" w:sz="0" w:space="0" w:color="auto"/>
            <w:left w:val="none" w:sz="0" w:space="0" w:color="auto"/>
            <w:bottom w:val="none" w:sz="0" w:space="0" w:color="auto"/>
            <w:right w:val="none" w:sz="0" w:space="0" w:color="auto"/>
          </w:divBdr>
        </w:div>
        <w:div w:id="1241670586">
          <w:marLeft w:val="360"/>
          <w:marRight w:val="0"/>
          <w:marTop w:val="200"/>
          <w:marBottom w:val="0"/>
          <w:divBdr>
            <w:top w:val="none" w:sz="0" w:space="0" w:color="auto"/>
            <w:left w:val="none" w:sz="0" w:space="0" w:color="auto"/>
            <w:bottom w:val="none" w:sz="0" w:space="0" w:color="auto"/>
            <w:right w:val="none" w:sz="0" w:space="0" w:color="auto"/>
          </w:divBdr>
        </w:div>
        <w:div w:id="1772240857">
          <w:marLeft w:val="1080"/>
          <w:marRight w:val="0"/>
          <w:marTop w:val="100"/>
          <w:marBottom w:val="0"/>
          <w:divBdr>
            <w:top w:val="none" w:sz="0" w:space="0" w:color="auto"/>
            <w:left w:val="none" w:sz="0" w:space="0" w:color="auto"/>
            <w:bottom w:val="none" w:sz="0" w:space="0" w:color="auto"/>
            <w:right w:val="none" w:sz="0" w:space="0" w:color="auto"/>
          </w:divBdr>
        </w:div>
      </w:divsChild>
    </w:div>
    <w:div w:id="967467238">
      <w:bodyDiv w:val="1"/>
      <w:marLeft w:val="0"/>
      <w:marRight w:val="0"/>
      <w:marTop w:val="0"/>
      <w:marBottom w:val="0"/>
      <w:divBdr>
        <w:top w:val="none" w:sz="0" w:space="0" w:color="auto"/>
        <w:left w:val="none" w:sz="0" w:space="0" w:color="auto"/>
        <w:bottom w:val="none" w:sz="0" w:space="0" w:color="auto"/>
        <w:right w:val="none" w:sz="0" w:space="0" w:color="auto"/>
      </w:divBdr>
      <w:divsChild>
        <w:div w:id="277421439">
          <w:marLeft w:val="360"/>
          <w:marRight w:val="0"/>
          <w:marTop w:val="200"/>
          <w:marBottom w:val="0"/>
          <w:divBdr>
            <w:top w:val="none" w:sz="0" w:space="0" w:color="auto"/>
            <w:left w:val="none" w:sz="0" w:space="0" w:color="auto"/>
            <w:bottom w:val="none" w:sz="0" w:space="0" w:color="auto"/>
            <w:right w:val="none" w:sz="0" w:space="0" w:color="auto"/>
          </w:divBdr>
        </w:div>
        <w:div w:id="472673990">
          <w:marLeft w:val="1080"/>
          <w:marRight w:val="0"/>
          <w:marTop w:val="100"/>
          <w:marBottom w:val="0"/>
          <w:divBdr>
            <w:top w:val="none" w:sz="0" w:space="0" w:color="auto"/>
            <w:left w:val="none" w:sz="0" w:space="0" w:color="auto"/>
            <w:bottom w:val="none" w:sz="0" w:space="0" w:color="auto"/>
            <w:right w:val="none" w:sz="0" w:space="0" w:color="auto"/>
          </w:divBdr>
        </w:div>
        <w:div w:id="534003183">
          <w:marLeft w:val="360"/>
          <w:marRight w:val="0"/>
          <w:marTop w:val="200"/>
          <w:marBottom w:val="0"/>
          <w:divBdr>
            <w:top w:val="none" w:sz="0" w:space="0" w:color="auto"/>
            <w:left w:val="none" w:sz="0" w:space="0" w:color="auto"/>
            <w:bottom w:val="none" w:sz="0" w:space="0" w:color="auto"/>
            <w:right w:val="none" w:sz="0" w:space="0" w:color="auto"/>
          </w:divBdr>
        </w:div>
        <w:div w:id="590310563">
          <w:marLeft w:val="360"/>
          <w:marRight w:val="0"/>
          <w:marTop w:val="200"/>
          <w:marBottom w:val="0"/>
          <w:divBdr>
            <w:top w:val="none" w:sz="0" w:space="0" w:color="auto"/>
            <w:left w:val="none" w:sz="0" w:space="0" w:color="auto"/>
            <w:bottom w:val="none" w:sz="0" w:space="0" w:color="auto"/>
            <w:right w:val="none" w:sz="0" w:space="0" w:color="auto"/>
          </w:divBdr>
        </w:div>
        <w:div w:id="1336373933">
          <w:marLeft w:val="360"/>
          <w:marRight w:val="0"/>
          <w:marTop w:val="200"/>
          <w:marBottom w:val="0"/>
          <w:divBdr>
            <w:top w:val="none" w:sz="0" w:space="0" w:color="auto"/>
            <w:left w:val="none" w:sz="0" w:space="0" w:color="auto"/>
            <w:bottom w:val="none" w:sz="0" w:space="0" w:color="auto"/>
            <w:right w:val="none" w:sz="0" w:space="0" w:color="auto"/>
          </w:divBdr>
        </w:div>
      </w:divsChild>
    </w:div>
    <w:div w:id="1094284257">
      <w:bodyDiv w:val="1"/>
      <w:marLeft w:val="0"/>
      <w:marRight w:val="0"/>
      <w:marTop w:val="0"/>
      <w:marBottom w:val="0"/>
      <w:divBdr>
        <w:top w:val="none" w:sz="0" w:space="0" w:color="auto"/>
        <w:left w:val="none" w:sz="0" w:space="0" w:color="auto"/>
        <w:bottom w:val="none" w:sz="0" w:space="0" w:color="auto"/>
        <w:right w:val="none" w:sz="0" w:space="0" w:color="auto"/>
      </w:divBdr>
      <w:divsChild>
        <w:div w:id="404642696">
          <w:marLeft w:val="878"/>
          <w:marRight w:val="0"/>
          <w:marTop w:val="0"/>
          <w:marBottom w:val="120"/>
          <w:divBdr>
            <w:top w:val="none" w:sz="0" w:space="0" w:color="auto"/>
            <w:left w:val="none" w:sz="0" w:space="0" w:color="auto"/>
            <w:bottom w:val="none" w:sz="0" w:space="0" w:color="auto"/>
            <w:right w:val="none" w:sz="0" w:space="0" w:color="auto"/>
          </w:divBdr>
        </w:div>
        <w:div w:id="442386438">
          <w:marLeft w:val="403"/>
          <w:marRight w:val="0"/>
          <w:marTop w:val="0"/>
          <w:marBottom w:val="120"/>
          <w:divBdr>
            <w:top w:val="none" w:sz="0" w:space="0" w:color="auto"/>
            <w:left w:val="none" w:sz="0" w:space="0" w:color="auto"/>
            <w:bottom w:val="none" w:sz="0" w:space="0" w:color="auto"/>
            <w:right w:val="none" w:sz="0" w:space="0" w:color="auto"/>
          </w:divBdr>
        </w:div>
        <w:div w:id="446585911">
          <w:marLeft w:val="403"/>
          <w:marRight w:val="0"/>
          <w:marTop w:val="0"/>
          <w:marBottom w:val="120"/>
          <w:divBdr>
            <w:top w:val="none" w:sz="0" w:space="0" w:color="auto"/>
            <w:left w:val="none" w:sz="0" w:space="0" w:color="auto"/>
            <w:bottom w:val="none" w:sz="0" w:space="0" w:color="auto"/>
            <w:right w:val="none" w:sz="0" w:space="0" w:color="auto"/>
          </w:divBdr>
        </w:div>
        <w:div w:id="1077094542">
          <w:marLeft w:val="878"/>
          <w:marRight w:val="0"/>
          <w:marTop w:val="0"/>
          <w:marBottom w:val="120"/>
          <w:divBdr>
            <w:top w:val="none" w:sz="0" w:space="0" w:color="auto"/>
            <w:left w:val="none" w:sz="0" w:space="0" w:color="auto"/>
            <w:bottom w:val="none" w:sz="0" w:space="0" w:color="auto"/>
            <w:right w:val="none" w:sz="0" w:space="0" w:color="auto"/>
          </w:divBdr>
        </w:div>
        <w:div w:id="1651983346">
          <w:marLeft w:val="878"/>
          <w:marRight w:val="0"/>
          <w:marTop w:val="0"/>
          <w:marBottom w:val="120"/>
          <w:divBdr>
            <w:top w:val="none" w:sz="0" w:space="0" w:color="auto"/>
            <w:left w:val="none" w:sz="0" w:space="0" w:color="auto"/>
            <w:bottom w:val="none" w:sz="0" w:space="0" w:color="auto"/>
            <w:right w:val="none" w:sz="0" w:space="0" w:color="auto"/>
          </w:divBdr>
        </w:div>
        <w:div w:id="1931499418">
          <w:marLeft w:val="403"/>
          <w:marRight w:val="0"/>
          <w:marTop w:val="0"/>
          <w:marBottom w:val="120"/>
          <w:divBdr>
            <w:top w:val="none" w:sz="0" w:space="0" w:color="auto"/>
            <w:left w:val="none" w:sz="0" w:space="0" w:color="auto"/>
            <w:bottom w:val="none" w:sz="0" w:space="0" w:color="auto"/>
            <w:right w:val="none" w:sz="0" w:space="0" w:color="auto"/>
          </w:divBdr>
        </w:div>
      </w:divsChild>
    </w:div>
    <w:div w:id="1196427687">
      <w:bodyDiv w:val="1"/>
      <w:marLeft w:val="0"/>
      <w:marRight w:val="0"/>
      <w:marTop w:val="0"/>
      <w:marBottom w:val="0"/>
      <w:divBdr>
        <w:top w:val="none" w:sz="0" w:space="0" w:color="auto"/>
        <w:left w:val="none" w:sz="0" w:space="0" w:color="auto"/>
        <w:bottom w:val="none" w:sz="0" w:space="0" w:color="auto"/>
        <w:right w:val="none" w:sz="0" w:space="0" w:color="auto"/>
      </w:divBdr>
      <w:divsChild>
        <w:div w:id="152307759">
          <w:marLeft w:val="135"/>
          <w:marRight w:val="135"/>
          <w:marTop w:val="0"/>
          <w:marBottom w:val="90"/>
          <w:divBdr>
            <w:top w:val="none" w:sz="0" w:space="0" w:color="auto"/>
            <w:left w:val="none" w:sz="0" w:space="0" w:color="auto"/>
            <w:bottom w:val="none" w:sz="0" w:space="0" w:color="auto"/>
            <w:right w:val="none" w:sz="0" w:space="0" w:color="auto"/>
          </w:divBdr>
        </w:div>
        <w:div w:id="1895920199">
          <w:marLeft w:val="135"/>
          <w:marRight w:val="135"/>
          <w:marTop w:val="0"/>
          <w:marBottom w:val="90"/>
          <w:divBdr>
            <w:top w:val="none" w:sz="0" w:space="0" w:color="auto"/>
            <w:left w:val="none" w:sz="0" w:space="0" w:color="auto"/>
            <w:bottom w:val="none" w:sz="0" w:space="0" w:color="auto"/>
            <w:right w:val="none" w:sz="0" w:space="0" w:color="auto"/>
          </w:divBdr>
        </w:div>
      </w:divsChild>
    </w:div>
    <w:div w:id="1213537542">
      <w:bodyDiv w:val="1"/>
      <w:marLeft w:val="0"/>
      <w:marRight w:val="0"/>
      <w:marTop w:val="0"/>
      <w:marBottom w:val="0"/>
      <w:divBdr>
        <w:top w:val="none" w:sz="0" w:space="0" w:color="auto"/>
        <w:left w:val="none" w:sz="0" w:space="0" w:color="auto"/>
        <w:bottom w:val="none" w:sz="0" w:space="0" w:color="auto"/>
        <w:right w:val="none" w:sz="0" w:space="0" w:color="auto"/>
      </w:divBdr>
      <w:divsChild>
        <w:div w:id="1687243283">
          <w:marLeft w:val="677"/>
          <w:marRight w:val="0"/>
          <w:marTop w:val="0"/>
          <w:marBottom w:val="0"/>
          <w:divBdr>
            <w:top w:val="none" w:sz="0" w:space="0" w:color="auto"/>
            <w:left w:val="none" w:sz="0" w:space="0" w:color="auto"/>
            <w:bottom w:val="none" w:sz="0" w:space="0" w:color="auto"/>
            <w:right w:val="none" w:sz="0" w:space="0" w:color="auto"/>
          </w:divBdr>
        </w:div>
      </w:divsChild>
    </w:div>
    <w:div w:id="1281690455">
      <w:bodyDiv w:val="1"/>
      <w:marLeft w:val="0"/>
      <w:marRight w:val="0"/>
      <w:marTop w:val="0"/>
      <w:marBottom w:val="0"/>
      <w:divBdr>
        <w:top w:val="none" w:sz="0" w:space="0" w:color="auto"/>
        <w:left w:val="none" w:sz="0" w:space="0" w:color="auto"/>
        <w:bottom w:val="none" w:sz="0" w:space="0" w:color="auto"/>
        <w:right w:val="none" w:sz="0" w:space="0" w:color="auto"/>
      </w:divBdr>
      <w:divsChild>
        <w:div w:id="1412699369">
          <w:marLeft w:val="45"/>
          <w:marRight w:val="45"/>
          <w:marTop w:val="15"/>
          <w:marBottom w:val="0"/>
          <w:divBdr>
            <w:top w:val="none" w:sz="0" w:space="0" w:color="auto"/>
            <w:left w:val="none" w:sz="0" w:space="0" w:color="auto"/>
            <w:bottom w:val="none" w:sz="0" w:space="0" w:color="auto"/>
            <w:right w:val="none" w:sz="0" w:space="0" w:color="auto"/>
          </w:divBdr>
          <w:divsChild>
            <w:div w:id="2599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07135">
      <w:bodyDiv w:val="1"/>
      <w:marLeft w:val="0"/>
      <w:marRight w:val="0"/>
      <w:marTop w:val="0"/>
      <w:marBottom w:val="0"/>
      <w:divBdr>
        <w:top w:val="none" w:sz="0" w:space="0" w:color="auto"/>
        <w:left w:val="none" w:sz="0" w:space="0" w:color="auto"/>
        <w:bottom w:val="none" w:sz="0" w:space="0" w:color="auto"/>
        <w:right w:val="none" w:sz="0" w:space="0" w:color="auto"/>
      </w:divBdr>
      <w:divsChild>
        <w:div w:id="258880062">
          <w:marLeft w:val="878"/>
          <w:marRight w:val="0"/>
          <w:marTop w:val="0"/>
          <w:marBottom w:val="0"/>
          <w:divBdr>
            <w:top w:val="none" w:sz="0" w:space="0" w:color="auto"/>
            <w:left w:val="none" w:sz="0" w:space="0" w:color="auto"/>
            <w:bottom w:val="none" w:sz="0" w:space="0" w:color="auto"/>
            <w:right w:val="none" w:sz="0" w:space="0" w:color="auto"/>
          </w:divBdr>
        </w:div>
        <w:div w:id="700397816">
          <w:marLeft w:val="878"/>
          <w:marRight w:val="0"/>
          <w:marTop w:val="0"/>
          <w:marBottom w:val="0"/>
          <w:divBdr>
            <w:top w:val="none" w:sz="0" w:space="0" w:color="auto"/>
            <w:left w:val="none" w:sz="0" w:space="0" w:color="auto"/>
            <w:bottom w:val="none" w:sz="0" w:space="0" w:color="auto"/>
            <w:right w:val="none" w:sz="0" w:space="0" w:color="auto"/>
          </w:divBdr>
        </w:div>
        <w:div w:id="753630779">
          <w:marLeft w:val="878"/>
          <w:marRight w:val="0"/>
          <w:marTop w:val="0"/>
          <w:marBottom w:val="0"/>
          <w:divBdr>
            <w:top w:val="none" w:sz="0" w:space="0" w:color="auto"/>
            <w:left w:val="none" w:sz="0" w:space="0" w:color="auto"/>
            <w:bottom w:val="none" w:sz="0" w:space="0" w:color="auto"/>
            <w:right w:val="none" w:sz="0" w:space="0" w:color="auto"/>
          </w:divBdr>
        </w:div>
        <w:div w:id="992638752">
          <w:marLeft w:val="403"/>
          <w:marRight w:val="0"/>
          <w:marTop w:val="0"/>
          <w:marBottom w:val="0"/>
          <w:divBdr>
            <w:top w:val="none" w:sz="0" w:space="0" w:color="auto"/>
            <w:left w:val="none" w:sz="0" w:space="0" w:color="auto"/>
            <w:bottom w:val="none" w:sz="0" w:space="0" w:color="auto"/>
            <w:right w:val="none" w:sz="0" w:space="0" w:color="auto"/>
          </w:divBdr>
        </w:div>
        <w:div w:id="1100373280">
          <w:marLeft w:val="403"/>
          <w:marRight w:val="0"/>
          <w:marTop w:val="0"/>
          <w:marBottom w:val="0"/>
          <w:divBdr>
            <w:top w:val="none" w:sz="0" w:space="0" w:color="auto"/>
            <w:left w:val="none" w:sz="0" w:space="0" w:color="auto"/>
            <w:bottom w:val="none" w:sz="0" w:space="0" w:color="auto"/>
            <w:right w:val="none" w:sz="0" w:space="0" w:color="auto"/>
          </w:divBdr>
        </w:div>
        <w:div w:id="1886872869">
          <w:marLeft w:val="403"/>
          <w:marRight w:val="0"/>
          <w:marTop w:val="0"/>
          <w:marBottom w:val="0"/>
          <w:divBdr>
            <w:top w:val="none" w:sz="0" w:space="0" w:color="auto"/>
            <w:left w:val="none" w:sz="0" w:space="0" w:color="auto"/>
            <w:bottom w:val="none" w:sz="0" w:space="0" w:color="auto"/>
            <w:right w:val="none" w:sz="0" w:space="0" w:color="auto"/>
          </w:divBdr>
        </w:div>
        <w:div w:id="2055152918">
          <w:marLeft w:val="403"/>
          <w:marRight w:val="0"/>
          <w:marTop w:val="0"/>
          <w:marBottom w:val="0"/>
          <w:divBdr>
            <w:top w:val="none" w:sz="0" w:space="0" w:color="auto"/>
            <w:left w:val="none" w:sz="0" w:space="0" w:color="auto"/>
            <w:bottom w:val="none" w:sz="0" w:space="0" w:color="auto"/>
            <w:right w:val="none" w:sz="0" w:space="0" w:color="auto"/>
          </w:divBdr>
        </w:div>
        <w:div w:id="2059887699">
          <w:marLeft w:val="403"/>
          <w:marRight w:val="0"/>
          <w:marTop w:val="0"/>
          <w:marBottom w:val="0"/>
          <w:divBdr>
            <w:top w:val="none" w:sz="0" w:space="0" w:color="auto"/>
            <w:left w:val="none" w:sz="0" w:space="0" w:color="auto"/>
            <w:bottom w:val="none" w:sz="0" w:space="0" w:color="auto"/>
            <w:right w:val="none" w:sz="0" w:space="0" w:color="auto"/>
          </w:divBdr>
        </w:div>
      </w:divsChild>
    </w:div>
    <w:div w:id="1548178061">
      <w:bodyDiv w:val="1"/>
      <w:marLeft w:val="0"/>
      <w:marRight w:val="0"/>
      <w:marTop w:val="0"/>
      <w:marBottom w:val="0"/>
      <w:divBdr>
        <w:top w:val="none" w:sz="0" w:space="0" w:color="auto"/>
        <w:left w:val="none" w:sz="0" w:space="0" w:color="auto"/>
        <w:bottom w:val="none" w:sz="0" w:space="0" w:color="auto"/>
        <w:right w:val="none" w:sz="0" w:space="0" w:color="auto"/>
      </w:divBdr>
      <w:divsChild>
        <w:div w:id="418909164">
          <w:marLeft w:val="720"/>
          <w:marRight w:val="0"/>
          <w:marTop w:val="0"/>
          <w:marBottom w:val="0"/>
          <w:divBdr>
            <w:top w:val="none" w:sz="0" w:space="0" w:color="auto"/>
            <w:left w:val="none" w:sz="0" w:space="0" w:color="auto"/>
            <w:bottom w:val="none" w:sz="0" w:space="0" w:color="auto"/>
            <w:right w:val="none" w:sz="0" w:space="0" w:color="auto"/>
          </w:divBdr>
        </w:div>
        <w:div w:id="568268040">
          <w:marLeft w:val="720"/>
          <w:marRight w:val="0"/>
          <w:marTop w:val="0"/>
          <w:marBottom w:val="0"/>
          <w:divBdr>
            <w:top w:val="none" w:sz="0" w:space="0" w:color="auto"/>
            <w:left w:val="none" w:sz="0" w:space="0" w:color="auto"/>
            <w:bottom w:val="none" w:sz="0" w:space="0" w:color="auto"/>
            <w:right w:val="none" w:sz="0" w:space="0" w:color="auto"/>
          </w:divBdr>
        </w:div>
        <w:div w:id="670066970">
          <w:marLeft w:val="720"/>
          <w:marRight w:val="0"/>
          <w:marTop w:val="0"/>
          <w:marBottom w:val="0"/>
          <w:divBdr>
            <w:top w:val="none" w:sz="0" w:space="0" w:color="auto"/>
            <w:left w:val="none" w:sz="0" w:space="0" w:color="auto"/>
            <w:bottom w:val="none" w:sz="0" w:space="0" w:color="auto"/>
            <w:right w:val="none" w:sz="0" w:space="0" w:color="auto"/>
          </w:divBdr>
        </w:div>
        <w:div w:id="1491602199">
          <w:marLeft w:val="720"/>
          <w:marRight w:val="0"/>
          <w:marTop w:val="0"/>
          <w:marBottom w:val="0"/>
          <w:divBdr>
            <w:top w:val="none" w:sz="0" w:space="0" w:color="auto"/>
            <w:left w:val="none" w:sz="0" w:space="0" w:color="auto"/>
            <w:bottom w:val="none" w:sz="0" w:space="0" w:color="auto"/>
            <w:right w:val="none" w:sz="0" w:space="0" w:color="auto"/>
          </w:divBdr>
        </w:div>
        <w:div w:id="1680547686">
          <w:marLeft w:val="720"/>
          <w:marRight w:val="0"/>
          <w:marTop w:val="0"/>
          <w:marBottom w:val="0"/>
          <w:divBdr>
            <w:top w:val="none" w:sz="0" w:space="0" w:color="auto"/>
            <w:left w:val="none" w:sz="0" w:space="0" w:color="auto"/>
            <w:bottom w:val="none" w:sz="0" w:space="0" w:color="auto"/>
            <w:right w:val="none" w:sz="0" w:space="0" w:color="auto"/>
          </w:divBdr>
        </w:div>
      </w:divsChild>
    </w:div>
    <w:div w:id="1591694654">
      <w:bodyDiv w:val="1"/>
      <w:marLeft w:val="0"/>
      <w:marRight w:val="0"/>
      <w:marTop w:val="0"/>
      <w:marBottom w:val="0"/>
      <w:divBdr>
        <w:top w:val="none" w:sz="0" w:space="0" w:color="auto"/>
        <w:left w:val="none" w:sz="0" w:space="0" w:color="auto"/>
        <w:bottom w:val="none" w:sz="0" w:space="0" w:color="auto"/>
        <w:right w:val="none" w:sz="0" w:space="0" w:color="auto"/>
      </w:divBdr>
      <w:divsChild>
        <w:div w:id="446310832">
          <w:marLeft w:val="403"/>
          <w:marRight w:val="0"/>
          <w:marTop w:val="0"/>
          <w:marBottom w:val="0"/>
          <w:divBdr>
            <w:top w:val="none" w:sz="0" w:space="0" w:color="auto"/>
            <w:left w:val="none" w:sz="0" w:space="0" w:color="auto"/>
            <w:bottom w:val="none" w:sz="0" w:space="0" w:color="auto"/>
            <w:right w:val="none" w:sz="0" w:space="0" w:color="auto"/>
          </w:divBdr>
        </w:div>
      </w:divsChild>
    </w:div>
    <w:div w:id="1773429565">
      <w:bodyDiv w:val="1"/>
      <w:marLeft w:val="0"/>
      <w:marRight w:val="0"/>
      <w:marTop w:val="0"/>
      <w:marBottom w:val="0"/>
      <w:divBdr>
        <w:top w:val="none" w:sz="0" w:space="0" w:color="auto"/>
        <w:left w:val="none" w:sz="0" w:space="0" w:color="auto"/>
        <w:bottom w:val="none" w:sz="0" w:space="0" w:color="auto"/>
        <w:right w:val="none" w:sz="0" w:space="0" w:color="auto"/>
      </w:divBdr>
      <w:divsChild>
        <w:div w:id="44718021">
          <w:marLeft w:val="533"/>
          <w:marRight w:val="0"/>
          <w:marTop w:val="0"/>
          <w:marBottom w:val="0"/>
          <w:divBdr>
            <w:top w:val="none" w:sz="0" w:space="0" w:color="auto"/>
            <w:left w:val="none" w:sz="0" w:space="0" w:color="auto"/>
            <w:bottom w:val="none" w:sz="0" w:space="0" w:color="auto"/>
            <w:right w:val="none" w:sz="0" w:space="0" w:color="auto"/>
          </w:divBdr>
        </w:div>
        <w:div w:id="141510578">
          <w:marLeft w:val="533"/>
          <w:marRight w:val="0"/>
          <w:marTop w:val="0"/>
          <w:marBottom w:val="0"/>
          <w:divBdr>
            <w:top w:val="none" w:sz="0" w:space="0" w:color="auto"/>
            <w:left w:val="none" w:sz="0" w:space="0" w:color="auto"/>
            <w:bottom w:val="none" w:sz="0" w:space="0" w:color="auto"/>
            <w:right w:val="none" w:sz="0" w:space="0" w:color="auto"/>
          </w:divBdr>
        </w:div>
        <w:div w:id="984431886">
          <w:marLeft w:val="533"/>
          <w:marRight w:val="0"/>
          <w:marTop w:val="0"/>
          <w:marBottom w:val="0"/>
          <w:divBdr>
            <w:top w:val="none" w:sz="0" w:space="0" w:color="auto"/>
            <w:left w:val="none" w:sz="0" w:space="0" w:color="auto"/>
            <w:bottom w:val="none" w:sz="0" w:space="0" w:color="auto"/>
            <w:right w:val="none" w:sz="0" w:space="0" w:color="auto"/>
          </w:divBdr>
        </w:div>
        <w:div w:id="1099720683">
          <w:marLeft w:val="533"/>
          <w:marRight w:val="0"/>
          <w:marTop w:val="0"/>
          <w:marBottom w:val="0"/>
          <w:divBdr>
            <w:top w:val="none" w:sz="0" w:space="0" w:color="auto"/>
            <w:left w:val="none" w:sz="0" w:space="0" w:color="auto"/>
            <w:bottom w:val="none" w:sz="0" w:space="0" w:color="auto"/>
            <w:right w:val="none" w:sz="0" w:space="0" w:color="auto"/>
          </w:divBdr>
        </w:div>
        <w:div w:id="2100056467">
          <w:marLeft w:val="533"/>
          <w:marRight w:val="0"/>
          <w:marTop w:val="0"/>
          <w:marBottom w:val="0"/>
          <w:divBdr>
            <w:top w:val="none" w:sz="0" w:space="0" w:color="auto"/>
            <w:left w:val="none" w:sz="0" w:space="0" w:color="auto"/>
            <w:bottom w:val="none" w:sz="0" w:space="0" w:color="auto"/>
            <w:right w:val="none" w:sz="0" w:space="0" w:color="auto"/>
          </w:divBdr>
        </w:div>
      </w:divsChild>
    </w:div>
    <w:div w:id="1869367046">
      <w:bodyDiv w:val="1"/>
      <w:marLeft w:val="0"/>
      <w:marRight w:val="0"/>
      <w:marTop w:val="0"/>
      <w:marBottom w:val="0"/>
      <w:divBdr>
        <w:top w:val="none" w:sz="0" w:space="0" w:color="auto"/>
        <w:left w:val="none" w:sz="0" w:space="0" w:color="auto"/>
        <w:bottom w:val="none" w:sz="0" w:space="0" w:color="auto"/>
        <w:right w:val="none" w:sz="0" w:space="0" w:color="auto"/>
      </w:divBdr>
      <w:divsChild>
        <w:div w:id="765350481">
          <w:marLeft w:val="1080"/>
          <w:marRight w:val="0"/>
          <w:marTop w:val="100"/>
          <w:marBottom w:val="0"/>
          <w:divBdr>
            <w:top w:val="none" w:sz="0" w:space="0" w:color="auto"/>
            <w:left w:val="none" w:sz="0" w:space="0" w:color="auto"/>
            <w:bottom w:val="none" w:sz="0" w:space="0" w:color="auto"/>
            <w:right w:val="none" w:sz="0" w:space="0" w:color="auto"/>
          </w:divBdr>
        </w:div>
        <w:div w:id="937829073">
          <w:marLeft w:val="360"/>
          <w:marRight w:val="0"/>
          <w:marTop w:val="200"/>
          <w:marBottom w:val="0"/>
          <w:divBdr>
            <w:top w:val="none" w:sz="0" w:space="0" w:color="auto"/>
            <w:left w:val="none" w:sz="0" w:space="0" w:color="auto"/>
            <w:bottom w:val="none" w:sz="0" w:space="0" w:color="auto"/>
            <w:right w:val="none" w:sz="0" w:space="0" w:color="auto"/>
          </w:divBdr>
        </w:div>
        <w:div w:id="1774126738">
          <w:marLeft w:val="360"/>
          <w:marRight w:val="0"/>
          <w:marTop w:val="200"/>
          <w:marBottom w:val="0"/>
          <w:divBdr>
            <w:top w:val="none" w:sz="0" w:space="0" w:color="auto"/>
            <w:left w:val="none" w:sz="0" w:space="0" w:color="auto"/>
            <w:bottom w:val="none" w:sz="0" w:space="0" w:color="auto"/>
            <w:right w:val="none" w:sz="0" w:space="0" w:color="auto"/>
          </w:divBdr>
        </w:div>
        <w:div w:id="2102412314">
          <w:marLeft w:val="1080"/>
          <w:marRight w:val="0"/>
          <w:marTop w:val="100"/>
          <w:marBottom w:val="0"/>
          <w:divBdr>
            <w:top w:val="none" w:sz="0" w:space="0" w:color="auto"/>
            <w:left w:val="none" w:sz="0" w:space="0" w:color="auto"/>
            <w:bottom w:val="none" w:sz="0" w:space="0" w:color="auto"/>
            <w:right w:val="none" w:sz="0" w:space="0" w:color="auto"/>
          </w:divBdr>
        </w:div>
        <w:div w:id="2113434058">
          <w:marLeft w:val="1080"/>
          <w:marRight w:val="0"/>
          <w:marTop w:val="100"/>
          <w:marBottom w:val="0"/>
          <w:divBdr>
            <w:top w:val="none" w:sz="0" w:space="0" w:color="auto"/>
            <w:left w:val="none" w:sz="0" w:space="0" w:color="auto"/>
            <w:bottom w:val="none" w:sz="0" w:space="0" w:color="auto"/>
            <w:right w:val="none" w:sz="0" w:space="0" w:color="auto"/>
          </w:divBdr>
        </w:div>
      </w:divsChild>
    </w:div>
    <w:div w:id="1880700404">
      <w:bodyDiv w:val="1"/>
      <w:marLeft w:val="0"/>
      <w:marRight w:val="0"/>
      <w:marTop w:val="0"/>
      <w:marBottom w:val="0"/>
      <w:divBdr>
        <w:top w:val="none" w:sz="0" w:space="0" w:color="auto"/>
        <w:left w:val="none" w:sz="0" w:space="0" w:color="auto"/>
        <w:bottom w:val="none" w:sz="0" w:space="0" w:color="auto"/>
        <w:right w:val="none" w:sz="0" w:space="0" w:color="auto"/>
      </w:divBdr>
      <w:divsChild>
        <w:div w:id="223763539">
          <w:marLeft w:val="360"/>
          <w:marRight w:val="0"/>
          <w:marTop w:val="200"/>
          <w:marBottom w:val="0"/>
          <w:divBdr>
            <w:top w:val="none" w:sz="0" w:space="0" w:color="auto"/>
            <w:left w:val="none" w:sz="0" w:space="0" w:color="auto"/>
            <w:bottom w:val="none" w:sz="0" w:space="0" w:color="auto"/>
            <w:right w:val="none" w:sz="0" w:space="0" w:color="auto"/>
          </w:divBdr>
        </w:div>
        <w:div w:id="413824174">
          <w:marLeft w:val="1080"/>
          <w:marRight w:val="0"/>
          <w:marTop w:val="100"/>
          <w:marBottom w:val="0"/>
          <w:divBdr>
            <w:top w:val="none" w:sz="0" w:space="0" w:color="auto"/>
            <w:left w:val="none" w:sz="0" w:space="0" w:color="auto"/>
            <w:bottom w:val="none" w:sz="0" w:space="0" w:color="auto"/>
            <w:right w:val="none" w:sz="0" w:space="0" w:color="auto"/>
          </w:divBdr>
        </w:div>
        <w:div w:id="469716657">
          <w:marLeft w:val="1080"/>
          <w:marRight w:val="0"/>
          <w:marTop w:val="100"/>
          <w:marBottom w:val="0"/>
          <w:divBdr>
            <w:top w:val="none" w:sz="0" w:space="0" w:color="auto"/>
            <w:left w:val="none" w:sz="0" w:space="0" w:color="auto"/>
            <w:bottom w:val="none" w:sz="0" w:space="0" w:color="auto"/>
            <w:right w:val="none" w:sz="0" w:space="0" w:color="auto"/>
          </w:divBdr>
        </w:div>
        <w:div w:id="1761021580">
          <w:marLeft w:val="1080"/>
          <w:marRight w:val="0"/>
          <w:marTop w:val="100"/>
          <w:marBottom w:val="0"/>
          <w:divBdr>
            <w:top w:val="none" w:sz="0" w:space="0" w:color="auto"/>
            <w:left w:val="none" w:sz="0" w:space="0" w:color="auto"/>
            <w:bottom w:val="none" w:sz="0" w:space="0" w:color="auto"/>
            <w:right w:val="none" w:sz="0" w:space="0" w:color="auto"/>
          </w:divBdr>
        </w:div>
      </w:divsChild>
    </w:div>
    <w:div w:id="1987080399">
      <w:bodyDiv w:val="1"/>
      <w:marLeft w:val="0"/>
      <w:marRight w:val="0"/>
      <w:marTop w:val="0"/>
      <w:marBottom w:val="0"/>
      <w:divBdr>
        <w:top w:val="none" w:sz="0" w:space="0" w:color="auto"/>
        <w:left w:val="none" w:sz="0" w:space="0" w:color="auto"/>
        <w:bottom w:val="none" w:sz="0" w:space="0" w:color="auto"/>
        <w:right w:val="none" w:sz="0" w:space="0" w:color="auto"/>
      </w:divBdr>
      <w:divsChild>
        <w:div w:id="398017954">
          <w:marLeft w:val="677"/>
          <w:marRight w:val="0"/>
          <w:marTop w:val="0"/>
          <w:marBottom w:val="0"/>
          <w:divBdr>
            <w:top w:val="none" w:sz="0" w:space="0" w:color="auto"/>
            <w:left w:val="none" w:sz="0" w:space="0" w:color="auto"/>
            <w:bottom w:val="none" w:sz="0" w:space="0" w:color="auto"/>
            <w:right w:val="none" w:sz="0" w:space="0" w:color="auto"/>
          </w:divBdr>
        </w:div>
        <w:div w:id="483546150">
          <w:marLeft w:val="677"/>
          <w:marRight w:val="0"/>
          <w:marTop w:val="0"/>
          <w:marBottom w:val="0"/>
          <w:divBdr>
            <w:top w:val="none" w:sz="0" w:space="0" w:color="auto"/>
            <w:left w:val="none" w:sz="0" w:space="0" w:color="auto"/>
            <w:bottom w:val="none" w:sz="0" w:space="0" w:color="auto"/>
            <w:right w:val="none" w:sz="0" w:space="0" w:color="auto"/>
          </w:divBdr>
        </w:div>
        <w:div w:id="733167613">
          <w:marLeft w:val="677"/>
          <w:marRight w:val="0"/>
          <w:marTop w:val="0"/>
          <w:marBottom w:val="0"/>
          <w:divBdr>
            <w:top w:val="none" w:sz="0" w:space="0" w:color="auto"/>
            <w:left w:val="none" w:sz="0" w:space="0" w:color="auto"/>
            <w:bottom w:val="none" w:sz="0" w:space="0" w:color="auto"/>
            <w:right w:val="none" w:sz="0" w:space="0" w:color="auto"/>
          </w:divBdr>
        </w:div>
        <w:div w:id="771048097">
          <w:marLeft w:val="1210"/>
          <w:marRight w:val="0"/>
          <w:marTop w:val="0"/>
          <w:marBottom w:val="0"/>
          <w:divBdr>
            <w:top w:val="none" w:sz="0" w:space="0" w:color="auto"/>
            <w:left w:val="none" w:sz="0" w:space="0" w:color="auto"/>
            <w:bottom w:val="none" w:sz="0" w:space="0" w:color="auto"/>
            <w:right w:val="none" w:sz="0" w:space="0" w:color="auto"/>
          </w:divBdr>
        </w:div>
        <w:div w:id="1416591658">
          <w:marLeft w:val="677"/>
          <w:marRight w:val="0"/>
          <w:marTop w:val="0"/>
          <w:marBottom w:val="0"/>
          <w:divBdr>
            <w:top w:val="none" w:sz="0" w:space="0" w:color="auto"/>
            <w:left w:val="none" w:sz="0" w:space="0" w:color="auto"/>
            <w:bottom w:val="none" w:sz="0" w:space="0" w:color="auto"/>
            <w:right w:val="none" w:sz="0" w:space="0" w:color="auto"/>
          </w:divBdr>
        </w:div>
        <w:div w:id="1831286851">
          <w:marLeft w:val="1210"/>
          <w:marRight w:val="0"/>
          <w:marTop w:val="0"/>
          <w:marBottom w:val="0"/>
          <w:divBdr>
            <w:top w:val="none" w:sz="0" w:space="0" w:color="auto"/>
            <w:left w:val="none" w:sz="0" w:space="0" w:color="auto"/>
            <w:bottom w:val="none" w:sz="0" w:space="0" w:color="auto"/>
            <w:right w:val="none" w:sz="0" w:space="0" w:color="auto"/>
          </w:divBdr>
        </w:div>
      </w:divsChild>
    </w:div>
    <w:div w:id="2129230958">
      <w:bodyDiv w:val="1"/>
      <w:marLeft w:val="0"/>
      <w:marRight w:val="0"/>
      <w:marTop w:val="0"/>
      <w:marBottom w:val="0"/>
      <w:divBdr>
        <w:top w:val="none" w:sz="0" w:space="0" w:color="auto"/>
        <w:left w:val="none" w:sz="0" w:space="0" w:color="auto"/>
        <w:bottom w:val="none" w:sz="0" w:space="0" w:color="auto"/>
        <w:right w:val="none" w:sz="0" w:space="0" w:color="auto"/>
      </w:divBdr>
    </w:div>
    <w:div w:id="2143768169">
      <w:bodyDiv w:val="1"/>
      <w:marLeft w:val="0"/>
      <w:marRight w:val="0"/>
      <w:marTop w:val="0"/>
      <w:marBottom w:val="0"/>
      <w:divBdr>
        <w:top w:val="none" w:sz="0" w:space="0" w:color="auto"/>
        <w:left w:val="none" w:sz="0" w:space="0" w:color="auto"/>
        <w:bottom w:val="none" w:sz="0" w:space="0" w:color="auto"/>
        <w:right w:val="none" w:sz="0" w:space="0" w:color="auto"/>
      </w:divBdr>
      <w:divsChild>
        <w:div w:id="888683427">
          <w:marLeft w:val="67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chamberfoundation.org/initiative/talent-pipeline-management-resources" TargetMode="External"/><Relationship Id="rId18" Type="http://schemas.openxmlformats.org/officeDocument/2006/relationships/hyperlink" Target="https://careertech.org/resource/state-cte-employer-engagement" TargetMode="External"/><Relationship Id="rId26" Type="http://schemas.openxmlformats.org/officeDocument/2006/relationships/hyperlink" Target="https://oklahomaworks.gov/" TargetMode="External"/><Relationship Id="rId39" Type="http://schemas.openxmlformats.org/officeDocument/2006/relationships/hyperlink" Target="https://careertech.org/resources/work-based-learning" TargetMode="External"/><Relationship Id="rId21" Type="http://schemas.openxmlformats.org/officeDocument/2006/relationships/hyperlink" Target="https://www.colorado.gov/pacific/sites/default/files/SB14-205_0.pdf" TargetMode="External"/><Relationship Id="rId34" Type="http://schemas.openxmlformats.org/officeDocument/2006/relationships/hyperlink" Target="https://careertech.org/resource/credentials-of-value" TargetMode="External"/><Relationship Id="rId42" Type="http://schemas.openxmlformats.org/officeDocument/2006/relationships/hyperlink" Target="http://www.connectedcalifornia.org/downloads/WBLReport.pdf" TargetMode="External"/><Relationship Id="rId47" Type="http://schemas.openxmlformats.org/officeDocument/2006/relationships/hyperlink" Target="http://www.apprenticeshipcarolina.com/index.html" TargetMode="External"/><Relationship Id="rId50" Type="http://schemas.openxmlformats.org/officeDocument/2006/relationships/hyperlink" Target="http://blogs.edweek.org/edweek/teacherbeat/2017/07/teacher_externships_bring_real_world_experience_into_classrooms.html" TargetMode="External"/><Relationship Id="rId55" Type="http://schemas.openxmlformats.org/officeDocument/2006/relationships/hyperlink" Target="https://careertech.org/resource/south-dakota-cte-teacher-certification" TargetMode="External"/><Relationship Id="rId63" Type="http://schemas.openxmlformats.org/officeDocument/2006/relationships/footer" Target="footer3.xml"/><Relationship Id="rId68" Type="http://schemas.openxmlformats.org/officeDocument/2006/relationships/hyperlink" Target="https://careertech.org/resource/business-support-CTE"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kansasregents.org/workforce_development/employer-engagement-initiative" TargetMode="External"/><Relationship Id="rId2" Type="http://schemas.openxmlformats.org/officeDocument/2006/relationships/numbering" Target="numbering.xml"/><Relationship Id="rId16" Type="http://schemas.openxmlformats.org/officeDocument/2006/relationships/hyperlink" Target="https://www.nga.org/files/live/sites/NGA/files/pdf/2013/1301NGASSSReport.pdf" TargetMode="External"/><Relationship Id="rId29" Type="http://schemas.openxmlformats.org/officeDocument/2006/relationships/hyperlink" Target="https://careertech.org/resource/credentials-of-value" TargetMode="External"/><Relationship Id="rId11" Type="http://schemas.openxmlformats.org/officeDocument/2006/relationships/hyperlink" Target="https://careertech.org/resource/business-support-CTE" TargetMode="External"/><Relationship Id="rId24" Type="http://schemas.openxmlformats.org/officeDocument/2006/relationships/hyperlink" Target="https://www.nationalskillscoalition.org/resources/publications/file/Final-Sector-Partnership-Policy-Toolkit-1.pdf" TargetMode="External"/><Relationship Id="rId32" Type="http://schemas.openxmlformats.org/officeDocument/2006/relationships/hyperlink" Target="https://careertech.org/resources/state-cte-standards" TargetMode="External"/><Relationship Id="rId37" Type="http://schemas.openxmlformats.org/officeDocument/2006/relationships/hyperlink" Target="https://cte.careertech.org/sites/default/files/files/resources/New_Jersey_Phase_One_Snapshot_2017.pdf" TargetMode="External"/><Relationship Id="rId40" Type="http://schemas.openxmlformats.org/officeDocument/2006/relationships/hyperlink" Target="https://cte.ed.gov/initiatives/potential-of-apprenticeships-in-secondary-education" TargetMode="External"/><Relationship Id="rId45" Type="http://schemas.openxmlformats.org/officeDocument/2006/relationships/hyperlink" Target="https://careertech.org/resource/Kentucky-TRACK" TargetMode="External"/><Relationship Id="rId53" Type="http://schemas.openxmlformats.org/officeDocument/2006/relationships/hyperlink" Target="https://careertech.org/resource/state-of-cte-increasing-access-to-industry-experts" TargetMode="External"/><Relationship Id="rId58" Type="http://schemas.openxmlformats.org/officeDocument/2006/relationships/footer" Target="footer2.xml"/><Relationship Id="rId66" Type="http://schemas.openxmlformats.org/officeDocument/2006/relationships/hyperlink" Target="http://www.ode.state.or.us/wma/teachlearn/cte/advisorycommsurvey_final_110912.pdf" TargetMode="External"/><Relationship Id="rId74" Type="http://schemas.openxmlformats.org/officeDocument/2006/relationships/hyperlink" Target="https://www.surveymonkey.com/r/NewSDpost-test" TargetMode="External"/><Relationship Id="rId5" Type="http://schemas.openxmlformats.org/officeDocument/2006/relationships/webSettings" Target="webSettings.xml"/><Relationship Id="rId15" Type="http://schemas.openxmlformats.org/officeDocument/2006/relationships/hyperlink" Target="https://careertech.org/vision" TargetMode="External"/><Relationship Id="rId23" Type="http://schemas.openxmlformats.org/officeDocument/2006/relationships/hyperlink" Target="http://www.leg.state.co.us/clics/clics2015a/csl.nsf/fsbillcont2/4863EAB6445E8E6D87257DFD00773431/$FILE/1274_enr.pdf" TargetMode="External"/><Relationship Id="rId28" Type="http://schemas.openxmlformats.org/officeDocument/2006/relationships/hyperlink" Target="https://cte.careertech.org/sites/default/files/New-SD-Program_Module-2-Programs-of-Study_FINAL.pdf" TargetMode="External"/><Relationship Id="rId36" Type="http://schemas.openxmlformats.org/officeDocument/2006/relationships/hyperlink" Target="http://gov.nv.gov/OWINN/" TargetMode="External"/><Relationship Id="rId49" Type="http://schemas.openxmlformats.org/officeDocument/2006/relationships/hyperlink" Target="http://www.savannahnow.com/opinion-columns/2016-05-29/matthew-gambill-more-work-based-learning-programs-georgia-students" TargetMode="External"/><Relationship Id="rId57" Type="http://schemas.openxmlformats.org/officeDocument/2006/relationships/header" Target="header2.xml"/><Relationship Id="rId61" Type="http://schemas.openxmlformats.org/officeDocument/2006/relationships/hyperlink" Target="http://www.minnstate.edu/system/cte/programs/index.html" TargetMode="External"/><Relationship Id="rId10" Type="http://schemas.openxmlformats.org/officeDocument/2006/relationships/hyperlink" Target="https://careertech.org/resource/state-cte-employer-engagement" TargetMode="External"/><Relationship Id="rId19" Type="http://schemas.openxmlformats.org/officeDocument/2006/relationships/hyperlink" Target="http://www.wtb.wa.gov/default.asp" TargetMode="External"/><Relationship Id="rId31" Type="http://schemas.openxmlformats.org/officeDocument/2006/relationships/hyperlink" Target="mailto:amcfadden@careertech.org" TargetMode="External"/><Relationship Id="rId44" Type="http://schemas.openxmlformats.org/officeDocument/2006/relationships/hyperlink" Target="http://wvde.state.wv.us/simulated-workplace/files/Industry-Evaluation.pdf" TargetMode="External"/><Relationship Id="rId52" Type="http://schemas.openxmlformats.org/officeDocument/2006/relationships/footer" Target="footer1.xml"/><Relationship Id="rId60" Type="http://schemas.openxmlformats.org/officeDocument/2006/relationships/hyperlink" Target="https://www.tn.gov/content/dam/tn/education/ccte/cte/cte_data_quality_prog_indicators.pdf" TargetMode="External"/><Relationship Id="rId65" Type="http://schemas.openxmlformats.org/officeDocument/2006/relationships/hyperlink" Target="http://coloradostateplan.com/administrator/advisory-committee/advisory-committee-development/" TargetMode="External"/><Relationship Id="rId73" Type="http://schemas.openxmlformats.org/officeDocument/2006/relationships/hyperlink" Target="https://dpi.wi.gov/business-friends" TargetMode="External"/><Relationship Id="rId4" Type="http://schemas.openxmlformats.org/officeDocument/2006/relationships/settings" Target="settings.xml"/><Relationship Id="rId9" Type="http://schemas.openxmlformats.org/officeDocument/2006/relationships/hyperlink" Target="https://www.surveymonkey.com/r/NewSDpre-test" TargetMode="External"/><Relationship Id="rId14" Type="http://schemas.openxmlformats.org/officeDocument/2006/relationships/hyperlink" Target="https://lincs.ed.gov/employers/" TargetMode="External"/><Relationship Id="rId22" Type="http://schemas.openxmlformats.org/officeDocument/2006/relationships/hyperlink" Target="http://www.leg.state.co.us/clics/clics2013a/csl.nsf/fsbillcont3/FD81557AE76C4A8F87257AF4007998E9/$FILE/1165_enr.pdf" TargetMode="External"/><Relationship Id="rId27" Type="http://schemas.openxmlformats.org/officeDocument/2006/relationships/hyperlink" Target="https://education.ky.gov/CTE/nsfy/Pages/KY-NSFY.aspx" TargetMode="External"/><Relationship Id="rId30" Type="http://schemas.openxmlformats.org/officeDocument/2006/relationships/hyperlink" Target="https://careertech.org/resource/putting-LMI-right-hands-guide" TargetMode="External"/><Relationship Id="rId35" Type="http://schemas.openxmlformats.org/officeDocument/2006/relationships/hyperlink" Target="http://gov.nv.gov/OWINN/SectorCouncil/Sector-Council/" TargetMode="External"/><Relationship Id="rId43" Type="http://schemas.openxmlformats.org/officeDocument/2006/relationships/hyperlink" Target="https://careertech.org/resource/west-virginia-simulated-workplace" TargetMode="External"/><Relationship Id="rId48" Type="http://schemas.openxmlformats.org/officeDocument/2006/relationships/hyperlink" Target="http://www.apprenticeshipcarolina.com/resources.html" TargetMode="External"/><Relationship Id="rId56" Type="http://schemas.openxmlformats.org/officeDocument/2006/relationships/hyperlink" Target="https://cte.ed.gov/initiatives/high-school-cte-teacher-pathway" TargetMode="External"/><Relationship Id="rId64" Type="http://schemas.openxmlformats.org/officeDocument/2006/relationships/hyperlink" Target="http://www.ncperkins.org/pluginfile.php/1578/mod_resource/content/1/CreatingCareerPathways_Final_11%202%2016.pdf" TargetMode="External"/><Relationship Id="rId69" Type="http://schemas.openxmlformats.org/officeDocument/2006/relationships/hyperlink" Target="https://cte.careertech.org/sites/default/files/Employer_Guide_Making_Case_CTE.pdf" TargetMode="External"/><Relationship Id="rId8" Type="http://schemas.openxmlformats.org/officeDocument/2006/relationships/image" Target="media/image1.jpeg"/><Relationship Id="rId51" Type="http://schemas.openxmlformats.org/officeDocument/2006/relationships/header" Target="header1.xml"/><Relationship Id="rId72" Type="http://schemas.openxmlformats.org/officeDocument/2006/relationships/hyperlink" Target="https://careertech.org/resource/alabama-21st-century-workforce-act" TargetMode="External"/><Relationship Id="rId3" Type="http://schemas.openxmlformats.org/officeDocument/2006/relationships/styles" Target="styles.xml"/><Relationship Id="rId12" Type="http://schemas.openxmlformats.org/officeDocument/2006/relationships/hyperlink" Target="http://www.jff.org/initiatives/greenways/employer-engagement-toolkit-placement-partners" TargetMode="External"/><Relationship Id="rId17" Type="http://schemas.openxmlformats.org/officeDocument/2006/relationships/hyperlink" Target="https://careertech.org/resource/skills-in-the-states-sector-partnership-policy-toolkit" TargetMode="External"/><Relationship Id="rId25" Type="http://schemas.openxmlformats.org/officeDocument/2006/relationships/hyperlink" Target="https://www.tn.gov/content/dam/tn/education/ccte/ccte_transition_advisory_council_rpt.pdf" TargetMode="External"/><Relationship Id="rId33" Type="http://schemas.openxmlformats.org/officeDocument/2006/relationships/hyperlink" Target="https://careertech.org/resource/state-cte-employer-engagement" TargetMode="External"/><Relationship Id="rId38" Type="http://schemas.openxmlformats.org/officeDocument/2006/relationships/hyperlink" Target="https://cte.careertech.org/sites/default/files/files/resources/Credentials_of_Value_2016_0.pdf" TargetMode="External"/><Relationship Id="rId46" Type="http://schemas.openxmlformats.org/officeDocument/2006/relationships/hyperlink" Target="https://careertech.org/resource/WBL-legal-barriers" TargetMode="External"/><Relationship Id="rId59" Type="http://schemas.openxmlformats.org/officeDocument/2006/relationships/hyperlink" Target="https://cte.careertech.org/sites/default/files/files/resources/Program_Approval_Benchmark_Tool_2017_FINAL.pdf" TargetMode="External"/><Relationship Id="rId67" Type="http://schemas.openxmlformats.org/officeDocument/2006/relationships/hyperlink" Target="https://cte.careertech.org/sites/default/files/files/resources/New_Jersey_Phase_One_Snapshot_2017.pdf" TargetMode="External"/><Relationship Id="rId20" Type="http://schemas.openxmlformats.org/officeDocument/2006/relationships/hyperlink" Target="http://www.wtb.wa.gov/WorkforceTrainingResults.asp" TargetMode="External"/><Relationship Id="rId41" Type="http://schemas.openxmlformats.org/officeDocument/2006/relationships/hyperlink" Target="mailto:amcfadden@careertech.org" TargetMode="External"/><Relationship Id="rId54" Type="http://schemas.openxmlformats.org/officeDocument/2006/relationships/hyperlink" Target="mailto:amcfadden@careertech.org" TargetMode="External"/><Relationship Id="rId62" Type="http://schemas.openxmlformats.org/officeDocument/2006/relationships/header" Target="header3.xml"/><Relationship Id="rId70" Type="http://schemas.openxmlformats.org/officeDocument/2006/relationships/hyperlink" Target="https://cte.careertech.org/sites/default/files/Value%26Promise_WinningCaseCTE_StateLeaders.pdf"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Documents\Advance%20CTE%20Members\New%20SD%20Program\2017%20cohort\New%20modules\TEMPLATE_Modu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CB690-F7E5-4C69-92BE-6EDDBD668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TEMPLATE_Module</Template>
  <TotalTime>5623</TotalTime>
  <Pages>33</Pages>
  <Words>10482</Words>
  <Characters>59749</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Andrea Z</cp:lastModifiedBy>
  <cp:revision>6</cp:revision>
  <cp:lastPrinted>2018-04-17T11:53:00Z</cp:lastPrinted>
  <dcterms:created xsi:type="dcterms:W3CDTF">2018-03-15T16:17:00Z</dcterms:created>
  <dcterms:modified xsi:type="dcterms:W3CDTF">2018-04-17T11:53:00Z</dcterms:modified>
</cp:coreProperties>
</file>