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8C7DF" w14:textId="77777777" w:rsidR="001A4AE9" w:rsidRDefault="001A4AE9" w:rsidP="00C22985">
      <w:pPr>
        <w:pStyle w:val="Title"/>
      </w:pPr>
      <w:bookmarkStart w:id="0" w:name="_Toc495335815"/>
      <w:bookmarkStart w:id="1" w:name="_Toc495335924"/>
      <w:bookmarkStart w:id="2" w:name="_GoBack"/>
      <w:bookmarkEnd w:id="2"/>
      <w:r>
        <w:rPr>
          <w:noProof/>
        </w:rPr>
        <w:drawing>
          <wp:anchor distT="0" distB="0" distL="114300" distR="114300" simplePos="0" relativeHeight="251661312" behindDoc="1" locked="0" layoutInCell="1" allowOverlap="1" wp14:anchorId="178FE3C4" wp14:editId="06219E37">
            <wp:simplePos x="0" y="0"/>
            <wp:positionH relativeFrom="page">
              <wp:align>left</wp:align>
            </wp:positionH>
            <wp:positionV relativeFrom="paragraph">
              <wp:posOffset>-916940</wp:posOffset>
            </wp:positionV>
            <wp:extent cx="7810500" cy="2425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ship program header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0" cy="2425761"/>
                    </a:xfrm>
                    <a:prstGeom prst="rect">
                      <a:avLst/>
                    </a:prstGeom>
                  </pic:spPr>
                </pic:pic>
              </a:graphicData>
            </a:graphic>
          </wp:anchor>
        </w:drawing>
      </w:r>
    </w:p>
    <w:p w14:paraId="5AE8850F" w14:textId="77777777" w:rsidR="001A4AE9" w:rsidRDefault="001A4AE9" w:rsidP="00C22985">
      <w:pPr>
        <w:pStyle w:val="Title"/>
      </w:pPr>
    </w:p>
    <w:p w14:paraId="2545827E" w14:textId="77777777" w:rsidR="001A4AE9" w:rsidRDefault="001A4AE9" w:rsidP="00C22985">
      <w:pPr>
        <w:pStyle w:val="Title"/>
      </w:pPr>
    </w:p>
    <w:p w14:paraId="76ABE0C8" w14:textId="77777777" w:rsidR="001A4AE9" w:rsidRDefault="001A4AE9" w:rsidP="00C22985"/>
    <w:p w14:paraId="3ADB3DA9" w14:textId="77777777" w:rsidR="001A4AE9" w:rsidRDefault="001A4AE9" w:rsidP="00C22985"/>
    <w:p w14:paraId="07D9508B" w14:textId="77777777" w:rsidR="001A4AE9" w:rsidRDefault="001A4AE9" w:rsidP="00C22985"/>
    <w:p w14:paraId="36F3974C" w14:textId="77777777" w:rsidR="001A4AE9" w:rsidRDefault="001A4AE9" w:rsidP="00C22985"/>
    <w:bookmarkEnd w:id="0"/>
    <w:bookmarkEnd w:id="1"/>
    <w:p w14:paraId="3A001E4B" w14:textId="77777777" w:rsidR="001A4AE9" w:rsidRDefault="001A4AE9" w:rsidP="001A4AE9">
      <w:pPr>
        <w:jc w:val="center"/>
        <w:rPr>
          <w:b/>
          <w:color w:val="009AA6"/>
          <w:sz w:val="52"/>
        </w:rPr>
      </w:pPr>
      <w:r w:rsidRPr="007A7B48">
        <w:rPr>
          <w:b/>
          <w:color w:val="009AA6"/>
          <w:sz w:val="52"/>
        </w:rPr>
        <w:t xml:space="preserve">Module </w:t>
      </w:r>
      <w:r>
        <w:rPr>
          <w:b/>
          <w:color w:val="009AA6"/>
          <w:sz w:val="52"/>
        </w:rPr>
        <w:t>2</w:t>
      </w:r>
      <w:r w:rsidRPr="007A7B48">
        <w:rPr>
          <w:b/>
          <w:color w:val="009AA6"/>
          <w:sz w:val="52"/>
        </w:rPr>
        <w:t xml:space="preserve">: </w:t>
      </w:r>
    </w:p>
    <w:p w14:paraId="3196FB5D" w14:textId="77777777" w:rsidR="001A4AE9" w:rsidRPr="007A7B48" w:rsidRDefault="001A4AE9" w:rsidP="001A4AE9">
      <w:pPr>
        <w:jc w:val="center"/>
        <w:rPr>
          <w:b/>
          <w:i/>
          <w:color w:val="009AA6"/>
          <w:sz w:val="52"/>
        </w:rPr>
      </w:pPr>
      <w:r>
        <w:rPr>
          <w:b/>
          <w:color w:val="009AA6"/>
          <w:sz w:val="52"/>
        </w:rPr>
        <w:t>Driving Quality through Programs of Study</w:t>
      </w:r>
    </w:p>
    <w:p w14:paraId="0835E9A4" w14:textId="77777777" w:rsidR="001A4AE9" w:rsidRPr="00D65C99" w:rsidRDefault="001A4AE9" w:rsidP="001A4AE9">
      <w:pPr>
        <w:jc w:val="center"/>
        <w:rPr>
          <w:i/>
          <w:sz w:val="28"/>
        </w:rPr>
      </w:pPr>
      <w:r>
        <w:rPr>
          <w:i/>
          <w:sz w:val="28"/>
        </w:rPr>
        <w:t>Winter 2018</w:t>
      </w:r>
    </w:p>
    <w:p w14:paraId="1750FDAA" w14:textId="77777777" w:rsidR="005B51C8" w:rsidRPr="005B51C8" w:rsidRDefault="005B51C8" w:rsidP="00C22985"/>
    <w:p w14:paraId="1920285E" w14:textId="77777777" w:rsidR="001D7CC8" w:rsidRDefault="001D7CC8" w:rsidP="00C22985"/>
    <w:p w14:paraId="01B96E2D" w14:textId="48266EAF" w:rsidR="001A4AE9" w:rsidRPr="00D47F2E" w:rsidRDefault="001A4AE9" w:rsidP="001A4AE9">
      <w:pPr>
        <w:pStyle w:val="Title"/>
      </w:pPr>
      <w:bookmarkStart w:id="3" w:name="_Toc495335818"/>
      <w:r>
        <w:rPr>
          <w:b/>
          <w:sz w:val="28"/>
        </w:rPr>
        <w:br w:type="page"/>
      </w:r>
      <w:r w:rsidRPr="00D47F2E">
        <w:lastRenderedPageBreak/>
        <w:t xml:space="preserve">A Note from the Executive Director </w:t>
      </w:r>
    </w:p>
    <w:p w14:paraId="41C46786" w14:textId="05711DCC" w:rsidR="001A4AE9" w:rsidRDefault="0050650A">
      <w:pPr>
        <w:spacing w:after="160" w:line="259" w:lineRule="auto"/>
        <w:rPr>
          <w:b/>
          <w:color w:val="009AA6"/>
          <w:sz w:val="28"/>
        </w:rPr>
      </w:pPr>
      <w:r w:rsidRPr="0050650A">
        <w:rPr>
          <w:b/>
          <w:noProof/>
          <w:color w:val="009AA6"/>
          <w:sz w:val="28"/>
        </w:rPr>
        <mc:AlternateContent>
          <mc:Choice Requires="wps">
            <w:drawing>
              <wp:anchor distT="45720" distB="45720" distL="114300" distR="114300" simplePos="0" relativeHeight="251665408" behindDoc="0" locked="0" layoutInCell="1" allowOverlap="1" wp14:anchorId="70051DEE" wp14:editId="0285C5C8">
                <wp:simplePos x="0" y="0"/>
                <wp:positionH relativeFrom="column">
                  <wp:posOffset>457200</wp:posOffset>
                </wp:positionH>
                <wp:positionV relativeFrom="paragraph">
                  <wp:posOffset>222885</wp:posOffset>
                </wp:positionV>
                <wp:extent cx="4800600" cy="5638800"/>
                <wp:effectExtent l="38100" t="38100" r="9525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63880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60AB97D2" w14:textId="49783D38" w:rsidR="0050650A" w:rsidRDefault="0050650A" w:rsidP="0050650A">
                            <w:pPr>
                              <w:spacing w:after="160" w:line="259" w:lineRule="auto"/>
                            </w:pPr>
                            <w:r>
                              <w:t xml:space="preserve">When we developed </w:t>
                            </w:r>
                            <w:r>
                              <w:rPr>
                                <w:i/>
                              </w:rPr>
                              <w:t>Putting Learner Success First: A Shared Vision for the Future of CTE</w:t>
                            </w:r>
                            <w:r>
                              <w:t xml:space="preserve"> in 2015 with more than 200 stakeholders and six co-convening partners, we called </w:t>
                            </w:r>
                            <w:r w:rsidRPr="00E57017">
                              <w:t>for a systemic transformation of the education system</w:t>
                            </w:r>
                            <w:r>
                              <w:t>. It was as clear then as it is now that Career Technical Education (CTE) should play a central</w:t>
                            </w:r>
                            <w:r w:rsidRPr="00E57017">
                              <w:t xml:space="preserve"> role </w:t>
                            </w:r>
                            <w:r w:rsidR="00331E68">
                              <w:t>in achieving this bold vision. J</w:t>
                            </w:r>
                            <w:r>
                              <w:t xml:space="preserve">ust as importantly, we </w:t>
                            </w:r>
                            <w:r w:rsidR="00331E68">
                              <w:t xml:space="preserve">also </w:t>
                            </w:r>
                            <w:r>
                              <w:t>knew that we as the CTE community must hold ourselves accountable to the highest standards of quality and excellence. This</w:t>
                            </w:r>
                            <w:r w:rsidR="00331E68">
                              <w:t xml:space="preserve"> meant doing what we say we do, and that’s why </w:t>
                            </w:r>
                            <w:r>
                              <w:t xml:space="preserve">programs of study </w:t>
                            </w:r>
                            <w:r w:rsidR="00331E68">
                              <w:t xml:space="preserve">are at the heart of this </w:t>
                            </w:r>
                            <w:r w:rsidR="000C763C">
                              <w:t>vision’s first</w:t>
                            </w:r>
                            <w:r w:rsidR="00331E68">
                              <w:t xml:space="preserve"> principle. </w:t>
                            </w:r>
                          </w:p>
                          <w:p w14:paraId="31EC300D" w14:textId="77777777" w:rsidR="0050650A" w:rsidRDefault="0050650A" w:rsidP="0050650A">
                            <w:pPr>
                              <w:spacing w:after="160" w:line="259" w:lineRule="auto"/>
                            </w:pPr>
                            <w:r>
                              <w:t xml:space="preserve">In this module, we urge you to take a critical look at your state’s program of study offerings, and – as you did with the module exploring the Carl D. Perkins Career and Technical Education Act – challenge the status quo. Look at your data and ask how you know your current programs of study are effectively serving learners in your state. Does your state vision for CTE match how you allocate your funding? Be courageous and ask whether some legacy programs should evolve or even retire. </w:t>
                            </w:r>
                          </w:p>
                          <w:p w14:paraId="4CFC379E" w14:textId="77777777" w:rsidR="0050650A" w:rsidRDefault="0050650A" w:rsidP="0050650A">
                            <w:pPr>
                              <w:spacing w:after="160" w:line="259" w:lineRule="auto"/>
                            </w:pPr>
                            <w:r>
                              <w:t xml:space="preserve">You will see that this module is structured differently than the previous module. We chose to focus on the major policy levers to advance programs of study, because each facet contains critical questions that you must explore to build or strengthen your state’s framework of high-quality programs. </w:t>
                            </w:r>
                          </w:p>
                          <w:p w14:paraId="02EE7A86" w14:textId="77777777" w:rsidR="0050650A" w:rsidRDefault="0050650A" w:rsidP="0050650A">
                            <w:pPr>
                              <w:spacing w:after="160" w:line="259" w:lineRule="auto"/>
                            </w:pPr>
                            <w:r>
                              <w:t xml:space="preserve">Getting this right is crucial to the overall health of your state CTE system, and moreover the future success of the learners in your state. For our part, Advance CTE is here to support you in making these tough but necessary decisions through this module such as this and even virtual or in-state meetings. </w:t>
                            </w:r>
                          </w:p>
                          <w:p w14:paraId="11DF1D28" w14:textId="77777777" w:rsidR="0050650A" w:rsidRPr="004C0D9D" w:rsidRDefault="0050650A" w:rsidP="0050650A">
                            <w:pPr>
                              <w:spacing w:after="160" w:line="259" w:lineRule="auto"/>
                            </w:pPr>
                            <w:r w:rsidRPr="004C0D9D">
                              <w:t xml:space="preserve">We look forward to continuing this journey with you. </w:t>
                            </w:r>
                          </w:p>
                          <w:p w14:paraId="376E3D09" w14:textId="77777777" w:rsidR="0050650A" w:rsidRPr="004C0D9D" w:rsidRDefault="0050650A" w:rsidP="0050650A">
                            <w:pPr>
                              <w:spacing w:line="259" w:lineRule="auto"/>
                              <w:rPr>
                                <w:i/>
                              </w:rPr>
                            </w:pPr>
                            <w:r w:rsidRPr="004C0D9D">
                              <w:rPr>
                                <w:i/>
                              </w:rPr>
                              <w:t>Kimberly Green</w:t>
                            </w:r>
                          </w:p>
                          <w:p w14:paraId="1B2840EA" w14:textId="77777777" w:rsidR="0050650A" w:rsidRDefault="0050650A" w:rsidP="0050650A">
                            <w:pPr>
                              <w:spacing w:line="259" w:lineRule="auto"/>
                            </w:pPr>
                            <w:r>
                              <w:t>Executive Director</w:t>
                            </w:r>
                          </w:p>
                          <w:p w14:paraId="43601E0D" w14:textId="1D25D3AD" w:rsidR="0050650A" w:rsidRDefault="00084B3A">
                            <w:r>
                              <w:t>Advance CTE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51DEE" id="_x0000_t202" coordsize="21600,21600" o:spt="202" path="m,l,21600r21600,l21600,xe">
                <v:stroke joinstyle="miter"/>
                <v:path gradientshapeok="t" o:connecttype="rect"/>
              </v:shapetype>
              <v:shape id="Text Box 2" o:spid="_x0000_s1026" type="#_x0000_t202" style="position:absolute;margin-left:36pt;margin-top:17.55pt;width:378pt;height:4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" stroked="f">
                <v:shadow on="t" color="black" opacity="26214f" origin="-.5,-.5" offset=".74836mm,.74836mm"/>
                <v:textbox>
                  <w:txbxContent>
                    <w:p w14:paraId="60AB97D2" w14:textId="49783D38" w:rsidR="0050650A" w:rsidRDefault="0050650A" w:rsidP="0050650A">
                      <w:pPr>
                        <w:spacing w:after="160" w:line="259" w:lineRule="auto"/>
                      </w:pPr>
                      <w:r>
                        <w:t xml:space="preserve">When we developed </w:t>
                      </w:r>
                      <w:r>
                        <w:rPr>
                          <w:i/>
                        </w:rPr>
                        <w:t>Putting Learner Success First: A Shared Vision for the Future of CTE</w:t>
                      </w:r>
                      <w:r>
                        <w:t xml:space="preserve"> in 2015 with more than 200 stakeholders and six co-convening partners, we called </w:t>
                      </w:r>
                      <w:r w:rsidRPr="00E57017">
                        <w:t>for a systemic transformation of the education system</w:t>
                      </w:r>
                      <w:r>
                        <w:t>. It was as clear then as it is now that Career Technical Education (CTE) should play a central</w:t>
                      </w:r>
                      <w:r w:rsidRPr="00E57017">
                        <w:t xml:space="preserve"> role </w:t>
                      </w:r>
                      <w:r w:rsidR="00331E68">
                        <w:t>in achieving this bold vision. J</w:t>
                      </w:r>
                      <w:r>
                        <w:t xml:space="preserve">ust as importantly, we </w:t>
                      </w:r>
                      <w:r w:rsidR="00331E68">
                        <w:t xml:space="preserve">also </w:t>
                      </w:r>
                      <w:r>
                        <w:t>knew that we as the CTE community must hold ourselves accountable to the highest standards of quality and excellence. This</w:t>
                      </w:r>
                      <w:r w:rsidR="00331E68">
                        <w:t xml:space="preserve"> meant doing what we say we do, and that’s why </w:t>
                      </w:r>
                      <w:r>
                        <w:t xml:space="preserve">programs of study </w:t>
                      </w:r>
                      <w:r w:rsidR="00331E68">
                        <w:t xml:space="preserve">are at the heart of this </w:t>
                      </w:r>
                      <w:r w:rsidR="000C763C">
                        <w:t>vision’s first</w:t>
                      </w:r>
                      <w:r w:rsidR="00331E68">
                        <w:t xml:space="preserve"> principle. </w:t>
                      </w:r>
                    </w:p>
                    <w:p w14:paraId="31EC300D" w14:textId="77777777" w:rsidR="0050650A" w:rsidRDefault="0050650A" w:rsidP="0050650A">
                      <w:pPr>
                        <w:spacing w:after="160" w:line="259" w:lineRule="auto"/>
                      </w:pPr>
                      <w:r>
                        <w:t xml:space="preserve">In this module, we urge you to take a critical look at your state’s program of study offerings, and – as you did with the module exploring the Carl D. Perkins Career and Technical Education Act – challenge the status quo. Look at your data and ask how you know your current programs of study are effectively serving learners in your state. Does your state vision for CTE match how you allocate your funding? Be courageous and ask whether some legacy programs should evolve or even retire. </w:t>
                      </w:r>
                    </w:p>
                    <w:p w14:paraId="4CFC379E" w14:textId="77777777" w:rsidR="0050650A" w:rsidRDefault="0050650A" w:rsidP="0050650A">
                      <w:pPr>
                        <w:spacing w:after="160" w:line="259" w:lineRule="auto"/>
                      </w:pPr>
                      <w:r>
                        <w:t xml:space="preserve">You will see that this module is structured differently than the previous module. We chose to focus on the major policy levers to advance programs of study, because each facet contains critical questions that you must explore to build or strengthen your state’s framework of high-quality programs. </w:t>
                      </w:r>
                    </w:p>
                    <w:p w14:paraId="02EE7A86" w14:textId="77777777" w:rsidR="0050650A" w:rsidRDefault="0050650A" w:rsidP="0050650A">
                      <w:pPr>
                        <w:spacing w:after="160" w:line="259" w:lineRule="auto"/>
                      </w:pPr>
                      <w:r>
                        <w:t xml:space="preserve">Getting this right is crucial to the overall health of your state CTE system, and moreover the future success of the learners in your state. For our part, Advance CTE is here to support you in making these tough but necessary decisions through this module such as this and even virtual or in-state meetings. </w:t>
                      </w:r>
                    </w:p>
                    <w:p w14:paraId="11DF1D28" w14:textId="77777777" w:rsidR="0050650A" w:rsidRPr="004C0D9D" w:rsidRDefault="0050650A" w:rsidP="0050650A">
                      <w:pPr>
                        <w:spacing w:after="160" w:line="259" w:lineRule="auto"/>
                      </w:pPr>
                      <w:r w:rsidRPr="004C0D9D">
                        <w:t xml:space="preserve">We look forward to continuing this journey with you. </w:t>
                      </w:r>
                    </w:p>
                    <w:p w14:paraId="376E3D09" w14:textId="77777777" w:rsidR="0050650A" w:rsidRPr="004C0D9D" w:rsidRDefault="0050650A" w:rsidP="0050650A">
                      <w:pPr>
                        <w:spacing w:line="259" w:lineRule="auto"/>
                        <w:rPr>
                          <w:i/>
                        </w:rPr>
                      </w:pPr>
                      <w:r w:rsidRPr="004C0D9D">
                        <w:rPr>
                          <w:i/>
                        </w:rPr>
                        <w:t>Kimberly Green</w:t>
                      </w:r>
                    </w:p>
                    <w:p w14:paraId="1B2840EA" w14:textId="77777777" w:rsidR="0050650A" w:rsidRDefault="0050650A" w:rsidP="0050650A">
                      <w:pPr>
                        <w:spacing w:line="259" w:lineRule="auto"/>
                      </w:pPr>
                      <w:r>
                        <w:t>Executive Director</w:t>
                      </w:r>
                    </w:p>
                    <w:p w14:paraId="43601E0D" w14:textId="1D25D3AD" w:rsidR="0050650A" w:rsidRDefault="00084B3A">
                      <w:r>
                        <w:t>Advance CTE</w:t>
                      </w:r>
                    </w:p>
                  </w:txbxContent>
                </v:textbox>
                <w10:wrap type="square"/>
              </v:shape>
            </w:pict>
          </mc:Fallback>
        </mc:AlternateContent>
      </w:r>
    </w:p>
    <w:p w14:paraId="73C42A1D" w14:textId="2CF9B481" w:rsidR="003E4F12" w:rsidRPr="00702CCB" w:rsidRDefault="00606BD0" w:rsidP="00702CCB">
      <w:pPr>
        <w:pStyle w:val="ListParagraph"/>
        <w:numPr>
          <w:ilvl w:val="0"/>
          <w:numId w:val="27"/>
        </w:numPr>
        <w:spacing w:after="160" w:line="259" w:lineRule="auto"/>
        <w:rPr>
          <w:b/>
          <w:color w:val="009AA6"/>
          <w:sz w:val="28"/>
        </w:rPr>
      </w:pPr>
      <w:r w:rsidRPr="00702CCB">
        <w:rPr>
          <w:b/>
          <w:color w:val="009AA6"/>
          <w:sz w:val="28"/>
        </w:rPr>
        <w:br w:type="page"/>
      </w:r>
    </w:p>
    <w:bookmarkEnd w:id="3" w:displacedByCustomXml="next"/>
    <w:sdt>
      <w:sdtPr>
        <w:rPr>
          <w:rFonts w:ascii="Myriad Pro" w:eastAsiaTheme="minorHAnsi" w:hAnsi="Myriad Pro" w:cstheme="minorBidi"/>
          <w:b/>
          <w:color w:val="009AA6"/>
          <w:sz w:val="22"/>
          <w:szCs w:val="22"/>
        </w:rPr>
        <w:id w:val="635460801"/>
        <w:docPartObj>
          <w:docPartGallery w:val="Table of Contents"/>
          <w:docPartUnique/>
        </w:docPartObj>
      </w:sdtPr>
      <w:sdtEndPr>
        <w:rPr>
          <w:bCs/>
          <w:noProof/>
          <w:color w:val="auto"/>
        </w:rPr>
      </w:sdtEndPr>
      <w:sdtContent>
        <w:p w14:paraId="4790A142" w14:textId="77777777" w:rsidR="00355AD9" w:rsidRPr="00355AD9" w:rsidRDefault="00355AD9" w:rsidP="00C22985">
          <w:pPr>
            <w:pStyle w:val="TOCHeading"/>
            <w:rPr>
              <w:b/>
              <w:color w:val="009AA6"/>
            </w:rPr>
          </w:pPr>
          <w:r w:rsidRPr="00355AD9">
            <w:rPr>
              <w:b/>
              <w:color w:val="009AA6"/>
            </w:rPr>
            <w:t>Contents</w:t>
          </w:r>
        </w:p>
        <w:p w14:paraId="454D9ECC" w14:textId="77777777" w:rsidR="00084B3A" w:rsidRDefault="00606BD0">
          <w:pPr>
            <w:pStyle w:val="TOC1"/>
            <w:tabs>
              <w:tab w:val="right" w:leader="dot" w:pos="9350"/>
            </w:tabs>
            <w:rPr>
              <w:rFonts w:asciiTheme="minorHAnsi" w:eastAsiaTheme="minorEastAsia" w:hAnsiTheme="minorHAnsi"/>
              <w:noProof/>
            </w:rPr>
          </w:pPr>
          <w:r>
            <w:fldChar w:fldCharType="begin"/>
          </w:r>
          <w:r w:rsidR="00355AD9">
            <w:instrText xml:space="preserve"> TOC \o "1-3" \h \z \u </w:instrText>
          </w:r>
          <w:r>
            <w:fldChar w:fldCharType="separate"/>
          </w:r>
          <w:hyperlink w:anchor="_Toc504573046" w:history="1">
            <w:r w:rsidR="00084B3A" w:rsidRPr="00E8099C">
              <w:rPr>
                <w:rStyle w:val="Hyperlink"/>
                <w:b/>
                <w:noProof/>
              </w:rPr>
              <w:t>How to Use the Modules</w:t>
            </w:r>
            <w:r w:rsidR="00084B3A">
              <w:rPr>
                <w:noProof/>
                <w:webHidden/>
              </w:rPr>
              <w:tab/>
            </w:r>
            <w:r w:rsidR="00084B3A">
              <w:rPr>
                <w:noProof/>
                <w:webHidden/>
              </w:rPr>
              <w:fldChar w:fldCharType="begin"/>
            </w:r>
            <w:r w:rsidR="00084B3A">
              <w:rPr>
                <w:noProof/>
                <w:webHidden/>
              </w:rPr>
              <w:instrText xml:space="preserve"> PAGEREF _Toc504573046 \h </w:instrText>
            </w:r>
            <w:r w:rsidR="00084B3A">
              <w:rPr>
                <w:noProof/>
                <w:webHidden/>
              </w:rPr>
            </w:r>
            <w:r w:rsidR="00084B3A">
              <w:rPr>
                <w:noProof/>
                <w:webHidden/>
              </w:rPr>
              <w:fldChar w:fldCharType="separate"/>
            </w:r>
            <w:r w:rsidR="0023188D">
              <w:rPr>
                <w:noProof/>
                <w:webHidden/>
              </w:rPr>
              <w:t>4</w:t>
            </w:r>
            <w:r w:rsidR="00084B3A">
              <w:rPr>
                <w:noProof/>
                <w:webHidden/>
              </w:rPr>
              <w:fldChar w:fldCharType="end"/>
            </w:r>
          </w:hyperlink>
        </w:p>
        <w:p w14:paraId="4DD1BF84" w14:textId="77777777" w:rsidR="00084B3A" w:rsidRDefault="00934C08">
          <w:pPr>
            <w:pStyle w:val="TOC1"/>
            <w:tabs>
              <w:tab w:val="right" w:leader="dot" w:pos="9350"/>
            </w:tabs>
            <w:rPr>
              <w:rFonts w:asciiTheme="minorHAnsi" w:eastAsiaTheme="minorEastAsia" w:hAnsiTheme="minorHAnsi"/>
              <w:noProof/>
            </w:rPr>
          </w:pPr>
          <w:hyperlink w:anchor="_Toc504573047" w:history="1">
            <w:r w:rsidR="00084B3A" w:rsidRPr="00E8099C">
              <w:rPr>
                <w:rStyle w:val="Hyperlink"/>
                <w:b/>
                <w:noProof/>
              </w:rPr>
              <w:t>Module Objectives &amp; Pre-Module Survey</w:t>
            </w:r>
            <w:r w:rsidR="00084B3A">
              <w:rPr>
                <w:noProof/>
                <w:webHidden/>
              </w:rPr>
              <w:tab/>
            </w:r>
            <w:r w:rsidR="00084B3A">
              <w:rPr>
                <w:noProof/>
                <w:webHidden/>
              </w:rPr>
              <w:fldChar w:fldCharType="begin"/>
            </w:r>
            <w:r w:rsidR="00084B3A">
              <w:rPr>
                <w:noProof/>
                <w:webHidden/>
              </w:rPr>
              <w:instrText xml:space="preserve"> PAGEREF _Toc504573047 \h </w:instrText>
            </w:r>
            <w:r w:rsidR="00084B3A">
              <w:rPr>
                <w:noProof/>
                <w:webHidden/>
              </w:rPr>
            </w:r>
            <w:r w:rsidR="00084B3A">
              <w:rPr>
                <w:noProof/>
                <w:webHidden/>
              </w:rPr>
              <w:fldChar w:fldCharType="separate"/>
            </w:r>
            <w:r w:rsidR="0023188D">
              <w:rPr>
                <w:noProof/>
                <w:webHidden/>
              </w:rPr>
              <w:t>5</w:t>
            </w:r>
            <w:r w:rsidR="00084B3A">
              <w:rPr>
                <w:noProof/>
                <w:webHidden/>
              </w:rPr>
              <w:fldChar w:fldCharType="end"/>
            </w:r>
          </w:hyperlink>
        </w:p>
        <w:p w14:paraId="02AD08C4" w14:textId="77777777" w:rsidR="00084B3A" w:rsidRDefault="00934C08">
          <w:pPr>
            <w:pStyle w:val="TOC2"/>
            <w:tabs>
              <w:tab w:val="right" w:leader="dot" w:pos="9350"/>
            </w:tabs>
            <w:rPr>
              <w:rFonts w:asciiTheme="minorHAnsi" w:eastAsiaTheme="minorEastAsia" w:hAnsiTheme="minorHAnsi"/>
              <w:noProof/>
            </w:rPr>
          </w:pPr>
          <w:hyperlink w:anchor="_Toc504573048" w:history="1">
            <w:r w:rsidR="00084B3A" w:rsidRPr="00E8099C">
              <w:rPr>
                <w:rStyle w:val="Hyperlink"/>
                <w:noProof/>
              </w:rPr>
              <w:t>Module Objectives</w:t>
            </w:r>
            <w:r w:rsidR="00084B3A">
              <w:rPr>
                <w:noProof/>
                <w:webHidden/>
              </w:rPr>
              <w:tab/>
            </w:r>
            <w:r w:rsidR="00084B3A">
              <w:rPr>
                <w:noProof/>
                <w:webHidden/>
              </w:rPr>
              <w:fldChar w:fldCharType="begin"/>
            </w:r>
            <w:r w:rsidR="00084B3A">
              <w:rPr>
                <w:noProof/>
                <w:webHidden/>
              </w:rPr>
              <w:instrText xml:space="preserve"> PAGEREF _Toc504573048 \h </w:instrText>
            </w:r>
            <w:r w:rsidR="00084B3A">
              <w:rPr>
                <w:noProof/>
                <w:webHidden/>
              </w:rPr>
            </w:r>
            <w:r w:rsidR="00084B3A">
              <w:rPr>
                <w:noProof/>
                <w:webHidden/>
              </w:rPr>
              <w:fldChar w:fldCharType="separate"/>
            </w:r>
            <w:r w:rsidR="0023188D">
              <w:rPr>
                <w:noProof/>
                <w:webHidden/>
              </w:rPr>
              <w:t>5</w:t>
            </w:r>
            <w:r w:rsidR="00084B3A">
              <w:rPr>
                <w:noProof/>
                <w:webHidden/>
              </w:rPr>
              <w:fldChar w:fldCharType="end"/>
            </w:r>
          </w:hyperlink>
        </w:p>
        <w:p w14:paraId="43360A90" w14:textId="77777777" w:rsidR="00084B3A" w:rsidRDefault="00934C08">
          <w:pPr>
            <w:pStyle w:val="TOC1"/>
            <w:tabs>
              <w:tab w:val="right" w:leader="dot" w:pos="9350"/>
            </w:tabs>
            <w:rPr>
              <w:rFonts w:asciiTheme="minorHAnsi" w:eastAsiaTheme="minorEastAsia" w:hAnsiTheme="minorHAnsi"/>
              <w:noProof/>
            </w:rPr>
          </w:pPr>
          <w:hyperlink w:anchor="_Toc504573049" w:history="1">
            <w:r w:rsidR="00084B3A" w:rsidRPr="00E8099C">
              <w:rPr>
                <w:rStyle w:val="Hyperlink"/>
                <w:b/>
                <w:noProof/>
              </w:rPr>
              <w:t>Getting Started</w:t>
            </w:r>
            <w:r w:rsidR="00084B3A">
              <w:rPr>
                <w:noProof/>
                <w:webHidden/>
              </w:rPr>
              <w:tab/>
            </w:r>
            <w:r w:rsidR="00084B3A">
              <w:rPr>
                <w:noProof/>
                <w:webHidden/>
              </w:rPr>
              <w:fldChar w:fldCharType="begin"/>
            </w:r>
            <w:r w:rsidR="00084B3A">
              <w:rPr>
                <w:noProof/>
                <w:webHidden/>
              </w:rPr>
              <w:instrText xml:space="preserve"> PAGEREF _Toc504573049 \h </w:instrText>
            </w:r>
            <w:r w:rsidR="00084B3A">
              <w:rPr>
                <w:noProof/>
                <w:webHidden/>
              </w:rPr>
            </w:r>
            <w:r w:rsidR="00084B3A">
              <w:rPr>
                <w:noProof/>
                <w:webHidden/>
              </w:rPr>
              <w:fldChar w:fldCharType="separate"/>
            </w:r>
            <w:r w:rsidR="0023188D">
              <w:rPr>
                <w:noProof/>
                <w:webHidden/>
              </w:rPr>
              <w:t>6</w:t>
            </w:r>
            <w:r w:rsidR="00084B3A">
              <w:rPr>
                <w:noProof/>
                <w:webHidden/>
              </w:rPr>
              <w:fldChar w:fldCharType="end"/>
            </w:r>
          </w:hyperlink>
        </w:p>
        <w:p w14:paraId="0B401B79" w14:textId="77777777" w:rsidR="00084B3A" w:rsidRDefault="00934C08">
          <w:pPr>
            <w:pStyle w:val="TOC2"/>
            <w:tabs>
              <w:tab w:val="right" w:leader="dot" w:pos="9350"/>
            </w:tabs>
            <w:rPr>
              <w:rFonts w:asciiTheme="minorHAnsi" w:eastAsiaTheme="minorEastAsia" w:hAnsiTheme="minorHAnsi"/>
              <w:noProof/>
            </w:rPr>
          </w:pPr>
          <w:hyperlink w:anchor="_Toc504573050" w:history="1">
            <w:r w:rsidR="00084B3A" w:rsidRPr="00E8099C">
              <w:rPr>
                <w:rStyle w:val="Hyperlink"/>
                <w:noProof/>
              </w:rPr>
              <w:t>Programs of Study Refresher</w:t>
            </w:r>
            <w:r w:rsidR="00084B3A">
              <w:rPr>
                <w:noProof/>
                <w:webHidden/>
              </w:rPr>
              <w:tab/>
            </w:r>
            <w:r w:rsidR="00084B3A">
              <w:rPr>
                <w:noProof/>
                <w:webHidden/>
              </w:rPr>
              <w:fldChar w:fldCharType="begin"/>
            </w:r>
            <w:r w:rsidR="00084B3A">
              <w:rPr>
                <w:noProof/>
                <w:webHidden/>
              </w:rPr>
              <w:instrText xml:space="preserve"> PAGEREF _Toc504573050 \h </w:instrText>
            </w:r>
            <w:r w:rsidR="00084B3A">
              <w:rPr>
                <w:noProof/>
                <w:webHidden/>
              </w:rPr>
            </w:r>
            <w:r w:rsidR="00084B3A">
              <w:rPr>
                <w:noProof/>
                <w:webHidden/>
              </w:rPr>
              <w:fldChar w:fldCharType="separate"/>
            </w:r>
            <w:r w:rsidR="0023188D">
              <w:rPr>
                <w:noProof/>
                <w:webHidden/>
              </w:rPr>
              <w:t>6</w:t>
            </w:r>
            <w:r w:rsidR="00084B3A">
              <w:rPr>
                <w:noProof/>
                <w:webHidden/>
              </w:rPr>
              <w:fldChar w:fldCharType="end"/>
            </w:r>
          </w:hyperlink>
        </w:p>
        <w:p w14:paraId="356A9D51" w14:textId="77777777" w:rsidR="00084B3A" w:rsidRDefault="00934C08">
          <w:pPr>
            <w:pStyle w:val="TOC2"/>
            <w:tabs>
              <w:tab w:val="right" w:leader="dot" w:pos="9350"/>
            </w:tabs>
            <w:rPr>
              <w:rFonts w:asciiTheme="minorHAnsi" w:eastAsiaTheme="minorEastAsia" w:hAnsiTheme="minorHAnsi"/>
              <w:noProof/>
            </w:rPr>
          </w:pPr>
          <w:hyperlink w:anchor="_Toc504573051" w:history="1">
            <w:r w:rsidR="00084B3A" w:rsidRPr="00E8099C">
              <w:rPr>
                <w:rStyle w:val="Hyperlink"/>
                <w:noProof/>
              </w:rPr>
              <w:t>Inventory</w:t>
            </w:r>
            <w:r w:rsidR="00084B3A">
              <w:rPr>
                <w:noProof/>
                <w:webHidden/>
              </w:rPr>
              <w:tab/>
            </w:r>
            <w:r w:rsidR="00084B3A">
              <w:rPr>
                <w:noProof/>
                <w:webHidden/>
              </w:rPr>
              <w:fldChar w:fldCharType="begin"/>
            </w:r>
            <w:r w:rsidR="00084B3A">
              <w:rPr>
                <w:noProof/>
                <w:webHidden/>
              </w:rPr>
              <w:instrText xml:space="preserve"> PAGEREF _Toc504573051 \h </w:instrText>
            </w:r>
            <w:r w:rsidR="00084B3A">
              <w:rPr>
                <w:noProof/>
                <w:webHidden/>
              </w:rPr>
            </w:r>
            <w:r w:rsidR="00084B3A">
              <w:rPr>
                <w:noProof/>
                <w:webHidden/>
              </w:rPr>
              <w:fldChar w:fldCharType="separate"/>
            </w:r>
            <w:r w:rsidR="0023188D">
              <w:rPr>
                <w:noProof/>
                <w:webHidden/>
              </w:rPr>
              <w:t>6</w:t>
            </w:r>
            <w:r w:rsidR="00084B3A">
              <w:rPr>
                <w:noProof/>
                <w:webHidden/>
              </w:rPr>
              <w:fldChar w:fldCharType="end"/>
            </w:r>
          </w:hyperlink>
        </w:p>
        <w:p w14:paraId="5621F448" w14:textId="77777777" w:rsidR="00084B3A" w:rsidRDefault="00934C08">
          <w:pPr>
            <w:pStyle w:val="TOC1"/>
            <w:tabs>
              <w:tab w:val="right" w:leader="dot" w:pos="9350"/>
            </w:tabs>
            <w:rPr>
              <w:rFonts w:asciiTheme="minorHAnsi" w:eastAsiaTheme="minorEastAsia" w:hAnsiTheme="minorHAnsi"/>
              <w:noProof/>
            </w:rPr>
          </w:pPr>
          <w:hyperlink w:anchor="_Toc504573052" w:history="1">
            <w:r w:rsidR="00084B3A" w:rsidRPr="00E8099C">
              <w:rPr>
                <w:rStyle w:val="Hyperlink"/>
                <w:b/>
                <w:noProof/>
              </w:rPr>
              <w:t>Ensuring Quality Programs of Study</w:t>
            </w:r>
            <w:r w:rsidR="00084B3A">
              <w:rPr>
                <w:noProof/>
                <w:webHidden/>
              </w:rPr>
              <w:tab/>
            </w:r>
            <w:r w:rsidR="00084B3A">
              <w:rPr>
                <w:noProof/>
                <w:webHidden/>
              </w:rPr>
              <w:fldChar w:fldCharType="begin"/>
            </w:r>
            <w:r w:rsidR="00084B3A">
              <w:rPr>
                <w:noProof/>
                <w:webHidden/>
              </w:rPr>
              <w:instrText xml:space="preserve"> PAGEREF _Toc504573052 \h </w:instrText>
            </w:r>
            <w:r w:rsidR="00084B3A">
              <w:rPr>
                <w:noProof/>
                <w:webHidden/>
              </w:rPr>
            </w:r>
            <w:r w:rsidR="00084B3A">
              <w:rPr>
                <w:noProof/>
                <w:webHidden/>
              </w:rPr>
              <w:fldChar w:fldCharType="separate"/>
            </w:r>
            <w:r w:rsidR="0023188D">
              <w:rPr>
                <w:noProof/>
                <w:webHidden/>
              </w:rPr>
              <w:t>9</w:t>
            </w:r>
            <w:r w:rsidR="00084B3A">
              <w:rPr>
                <w:noProof/>
                <w:webHidden/>
              </w:rPr>
              <w:fldChar w:fldCharType="end"/>
            </w:r>
          </w:hyperlink>
        </w:p>
        <w:p w14:paraId="6FA54F69" w14:textId="77777777" w:rsidR="00084B3A" w:rsidRDefault="00934C08">
          <w:pPr>
            <w:pStyle w:val="TOC2"/>
            <w:tabs>
              <w:tab w:val="right" w:leader="dot" w:pos="9350"/>
            </w:tabs>
            <w:rPr>
              <w:rFonts w:asciiTheme="minorHAnsi" w:eastAsiaTheme="minorEastAsia" w:hAnsiTheme="minorHAnsi"/>
              <w:noProof/>
            </w:rPr>
          </w:pPr>
          <w:hyperlink w:anchor="_Toc504573053" w:history="1">
            <w:r w:rsidR="00084B3A" w:rsidRPr="00E8099C">
              <w:rPr>
                <w:rStyle w:val="Hyperlink"/>
                <w:noProof/>
              </w:rPr>
              <w:t>Section 1: Program of Study Approval Policies &amp; Processes</w:t>
            </w:r>
            <w:r w:rsidR="00084B3A">
              <w:rPr>
                <w:noProof/>
                <w:webHidden/>
              </w:rPr>
              <w:tab/>
            </w:r>
            <w:r w:rsidR="00084B3A">
              <w:rPr>
                <w:noProof/>
                <w:webHidden/>
              </w:rPr>
              <w:fldChar w:fldCharType="begin"/>
            </w:r>
            <w:r w:rsidR="00084B3A">
              <w:rPr>
                <w:noProof/>
                <w:webHidden/>
              </w:rPr>
              <w:instrText xml:space="preserve"> PAGEREF _Toc504573053 \h </w:instrText>
            </w:r>
            <w:r w:rsidR="00084B3A">
              <w:rPr>
                <w:noProof/>
                <w:webHidden/>
              </w:rPr>
            </w:r>
            <w:r w:rsidR="00084B3A">
              <w:rPr>
                <w:noProof/>
                <w:webHidden/>
              </w:rPr>
              <w:fldChar w:fldCharType="separate"/>
            </w:r>
            <w:r w:rsidR="0023188D">
              <w:rPr>
                <w:noProof/>
                <w:webHidden/>
              </w:rPr>
              <w:t>9</w:t>
            </w:r>
            <w:r w:rsidR="00084B3A">
              <w:rPr>
                <w:noProof/>
                <w:webHidden/>
              </w:rPr>
              <w:fldChar w:fldCharType="end"/>
            </w:r>
          </w:hyperlink>
        </w:p>
        <w:p w14:paraId="33E46682" w14:textId="77777777" w:rsidR="00084B3A" w:rsidRDefault="00934C08">
          <w:pPr>
            <w:pStyle w:val="TOC3"/>
            <w:rPr>
              <w:rFonts w:asciiTheme="minorHAnsi" w:eastAsiaTheme="minorEastAsia" w:hAnsiTheme="minorHAnsi"/>
              <w:b w:val="0"/>
            </w:rPr>
          </w:pPr>
          <w:hyperlink w:anchor="_Toc504573054" w:history="1">
            <w:r w:rsidR="00084B3A" w:rsidRPr="00E8099C">
              <w:rPr>
                <w:rStyle w:val="Hyperlink"/>
              </w:rPr>
              <w:t>Program Approval Requirements</w:t>
            </w:r>
            <w:r w:rsidR="00084B3A">
              <w:rPr>
                <w:webHidden/>
              </w:rPr>
              <w:tab/>
            </w:r>
            <w:r w:rsidR="00084B3A">
              <w:rPr>
                <w:webHidden/>
              </w:rPr>
              <w:fldChar w:fldCharType="begin"/>
            </w:r>
            <w:r w:rsidR="00084B3A">
              <w:rPr>
                <w:webHidden/>
              </w:rPr>
              <w:instrText xml:space="preserve"> PAGEREF _Toc504573054 \h </w:instrText>
            </w:r>
            <w:r w:rsidR="00084B3A">
              <w:rPr>
                <w:webHidden/>
              </w:rPr>
            </w:r>
            <w:r w:rsidR="00084B3A">
              <w:rPr>
                <w:webHidden/>
              </w:rPr>
              <w:fldChar w:fldCharType="separate"/>
            </w:r>
            <w:r w:rsidR="0023188D">
              <w:rPr>
                <w:webHidden/>
              </w:rPr>
              <w:t>10</w:t>
            </w:r>
            <w:r w:rsidR="00084B3A">
              <w:rPr>
                <w:webHidden/>
              </w:rPr>
              <w:fldChar w:fldCharType="end"/>
            </w:r>
          </w:hyperlink>
        </w:p>
        <w:p w14:paraId="5C3D4A56" w14:textId="77777777" w:rsidR="00084B3A" w:rsidRDefault="00934C08">
          <w:pPr>
            <w:pStyle w:val="TOC3"/>
            <w:rPr>
              <w:rFonts w:asciiTheme="minorHAnsi" w:eastAsiaTheme="minorEastAsia" w:hAnsiTheme="minorHAnsi"/>
              <w:b w:val="0"/>
            </w:rPr>
          </w:pPr>
          <w:hyperlink w:anchor="_Toc504573055" w:history="1">
            <w:r w:rsidR="00084B3A" w:rsidRPr="00E8099C">
              <w:rPr>
                <w:rStyle w:val="Hyperlink"/>
              </w:rPr>
              <w:t>Key Questions: Program of Study Approval</w:t>
            </w:r>
            <w:r w:rsidR="00084B3A">
              <w:rPr>
                <w:webHidden/>
              </w:rPr>
              <w:tab/>
            </w:r>
            <w:r w:rsidR="00084B3A">
              <w:rPr>
                <w:webHidden/>
              </w:rPr>
              <w:fldChar w:fldCharType="begin"/>
            </w:r>
            <w:r w:rsidR="00084B3A">
              <w:rPr>
                <w:webHidden/>
              </w:rPr>
              <w:instrText xml:space="preserve"> PAGEREF _Toc504573055 \h </w:instrText>
            </w:r>
            <w:r w:rsidR="00084B3A">
              <w:rPr>
                <w:webHidden/>
              </w:rPr>
            </w:r>
            <w:r w:rsidR="00084B3A">
              <w:rPr>
                <w:webHidden/>
              </w:rPr>
              <w:fldChar w:fldCharType="separate"/>
            </w:r>
            <w:r w:rsidR="0023188D">
              <w:rPr>
                <w:webHidden/>
              </w:rPr>
              <w:t>11</w:t>
            </w:r>
            <w:r w:rsidR="00084B3A">
              <w:rPr>
                <w:webHidden/>
              </w:rPr>
              <w:fldChar w:fldCharType="end"/>
            </w:r>
          </w:hyperlink>
        </w:p>
        <w:p w14:paraId="3659BF87" w14:textId="77777777" w:rsidR="00084B3A" w:rsidRDefault="00934C08">
          <w:pPr>
            <w:pStyle w:val="TOC3"/>
            <w:rPr>
              <w:rFonts w:asciiTheme="minorHAnsi" w:eastAsiaTheme="minorEastAsia" w:hAnsiTheme="minorHAnsi"/>
              <w:b w:val="0"/>
            </w:rPr>
          </w:pPr>
          <w:hyperlink w:anchor="_Toc504573056" w:history="1">
            <w:r w:rsidR="00084B3A" w:rsidRPr="00E8099C">
              <w:rPr>
                <w:rStyle w:val="Hyperlink"/>
              </w:rPr>
              <w:t>State-developed Versus State-approved Programs of Study</w:t>
            </w:r>
            <w:r w:rsidR="00084B3A">
              <w:rPr>
                <w:webHidden/>
              </w:rPr>
              <w:tab/>
            </w:r>
            <w:r w:rsidR="00084B3A">
              <w:rPr>
                <w:webHidden/>
              </w:rPr>
              <w:fldChar w:fldCharType="begin"/>
            </w:r>
            <w:r w:rsidR="00084B3A">
              <w:rPr>
                <w:webHidden/>
              </w:rPr>
              <w:instrText xml:space="preserve"> PAGEREF _Toc504573056 \h </w:instrText>
            </w:r>
            <w:r w:rsidR="00084B3A">
              <w:rPr>
                <w:webHidden/>
              </w:rPr>
            </w:r>
            <w:r w:rsidR="00084B3A">
              <w:rPr>
                <w:webHidden/>
              </w:rPr>
              <w:fldChar w:fldCharType="separate"/>
            </w:r>
            <w:r w:rsidR="0023188D">
              <w:rPr>
                <w:webHidden/>
              </w:rPr>
              <w:t>12</w:t>
            </w:r>
            <w:r w:rsidR="00084B3A">
              <w:rPr>
                <w:webHidden/>
              </w:rPr>
              <w:fldChar w:fldCharType="end"/>
            </w:r>
          </w:hyperlink>
        </w:p>
        <w:p w14:paraId="2C15624E" w14:textId="77777777" w:rsidR="00084B3A" w:rsidRDefault="00934C08">
          <w:pPr>
            <w:pStyle w:val="TOC3"/>
            <w:rPr>
              <w:rFonts w:asciiTheme="minorHAnsi" w:eastAsiaTheme="minorEastAsia" w:hAnsiTheme="minorHAnsi"/>
              <w:b w:val="0"/>
            </w:rPr>
          </w:pPr>
          <w:hyperlink w:anchor="_Toc504573057" w:history="1">
            <w:r w:rsidR="00084B3A" w:rsidRPr="00E8099C">
              <w:rPr>
                <w:rStyle w:val="Hyperlink"/>
              </w:rPr>
              <w:t>Key Questions: State-developed Versus State-approved Programs of Study</w:t>
            </w:r>
            <w:r w:rsidR="00084B3A">
              <w:rPr>
                <w:webHidden/>
              </w:rPr>
              <w:tab/>
            </w:r>
            <w:r w:rsidR="00084B3A">
              <w:rPr>
                <w:webHidden/>
              </w:rPr>
              <w:fldChar w:fldCharType="begin"/>
            </w:r>
            <w:r w:rsidR="00084B3A">
              <w:rPr>
                <w:webHidden/>
              </w:rPr>
              <w:instrText xml:space="preserve"> PAGEREF _Toc504573057 \h </w:instrText>
            </w:r>
            <w:r w:rsidR="00084B3A">
              <w:rPr>
                <w:webHidden/>
              </w:rPr>
            </w:r>
            <w:r w:rsidR="00084B3A">
              <w:rPr>
                <w:webHidden/>
              </w:rPr>
              <w:fldChar w:fldCharType="separate"/>
            </w:r>
            <w:r w:rsidR="0023188D">
              <w:rPr>
                <w:webHidden/>
              </w:rPr>
              <w:t>13</w:t>
            </w:r>
            <w:r w:rsidR="00084B3A">
              <w:rPr>
                <w:webHidden/>
              </w:rPr>
              <w:fldChar w:fldCharType="end"/>
            </w:r>
          </w:hyperlink>
        </w:p>
        <w:p w14:paraId="4B691005" w14:textId="77777777" w:rsidR="00084B3A" w:rsidRDefault="00934C08">
          <w:pPr>
            <w:pStyle w:val="TOC3"/>
            <w:rPr>
              <w:rFonts w:asciiTheme="minorHAnsi" w:eastAsiaTheme="minorEastAsia" w:hAnsiTheme="minorHAnsi"/>
              <w:b w:val="0"/>
            </w:rPr>
          </w:pPr>
          <w:hyperlink w:anchor="_Toc504573058" w:history="1">
            <w:r w:rsidR="00084B3A" w:rsidRPr="00E8099C">
              <w:rPr>
                <w:rStyle w:val="Hyperlink"/>
              </w:rPr>
              <w:t>Program of Study Funding</w:t>
            </w:r>
            <w:r w:rsidR="00084B3A">
              <w:rPr>
                <w:webHidden/>
              </w:rPr>
              <w:tab/>
            </w:r>
            <w:r w:rsidR="00084B3A">
              <w:rPr>
                <w:webHidden/>
              </w:rPr>
              <w:fldChar w:fldCharType="begin"/>
            </w:r>
            <w:r w:rsidR="00084B3A">
              <w:rPr>
                <w:webHidden/>
              </w:rPr>
              <w:instrText xml:space="preserve"> PAGEREF _Toc504573058 \h </w:instrText>
            </w:r>
            <w:r w:rsidR="00084B3A">
              <w:rPr>
                <w:webHidden/>
              </w:rPr>
            </w:r>
            <w:r w:rsidR="00084B3A">
              <w:rPr>
                <w:webHidden/>
              </w:rPr>
              <w:fldChar w:fldCharType="separate"/>
            </w:r>
            <w:r w:rsidR="0023188D">
              <w:rPr>
                <w:webHidden/>
              </w:rPr>
              <w:t>14</w:t>
            </w:r>
            <w:r w:rsidR="00084B3A">
              <w:rPr>
                <w:webHidden/>
              </w:rPr>
              <w:fldChar w:fldCharType="end"/>
            </w:r>
          </w:hyperlink>
        </w:p>
        <w:p w14:paraId="189866D0" w14:textId="77777777" w:rsidR="00084B3A" w:rsidRDefault="00934C08">
          <w:pPr>
            <w:pStyle w:val="TOC3"/>
            <w:rPr>
              <w:rFonts w:asciiTheme="minorHAnsi" w:eastAsiaTheme="minorEastAsia" w:hAnsiTheme="minorHAnsi"/>
              <w:b w:val="0"/>
            </w:rPr>
          </w:pPr>
          <w:hyperlink w:anchor="_Toc504573059" w:history="1">
            <w:r w:rsidR="00084B3A" w:rsidRPr="00E8099C">
              <w:rPr>
                <w:rStyle w:val="Hyperlink"/>
              </w:rPr>
              <w:t>Key Questions: Program of Study Funding</w:t>
            </w:r>
            <w:r w:rsidR="00084B3A">
              <w:rPr>
                <w:webHidden/>
              </w:rPr>
              <w:tab/>
            </w:r>
            <w:r w:rsidR="00084B3A">
              <w:rPr>
                <w:webHidden/>
              </w:rPr>
              <w:fldChar w:fldCharType="begin"/>
            </w:r>
            <w:r w:rsidR="00084B3A">
              <w:rPr>
                <w:webHidden/>
              </w:rPr>
              <w:instrText xml:space="preserve"> PAGEREF _Toc504573059 \h </w:instrText>
            </w:r>
            <w:r w:rsidR="00084B3A">
              <w:rPr>
                <w:webHidden/>
              </w:rPr>
            </w:r>
            <w:r w:rsidR="00084B3A">
              <w:rPr>
                <w:webHidden/>
              </w:rPr>
              <w:fldChar w:fldCharType="separate"/>
            </w:r>
            <w:r w:rsidR="0023188D">
              <w:rPr>
                <w:webHidden/>
              </w:rPr>
              <w:t>15</w:t>
            </w:r>
            <w:r w:rsidR="00084B3A">
              <w:rPr>
                <w:webHidden/>
              </w:rPr>
              <w:fldChar w:fldCharType="end"/>
            </w:r>
          </w:hyperlink>
        </w:p>
        <w:p w14:paraId="29ACE89F" w14:textId="77777777" w:rsidR="00084B3A" w:rsidRDefault="00934C08">
          <w:pPr>
            <w:pStyle w:val="TOC2"/>
            <w:tabs>
              <w:tab w:val="right" w:leader="dot" w:pos="9350"/>
            </w:tabs>
            <w:rPr>
              <w:rFonts w:asciiTheme="minorHAnsi" w:eastAsiaTheme="minorEastAsia" w:hAnsiTheme="minorHAnsi"/>
              <w:noProof/>
            </w:rPr>
          </w:pPr>
          <w:hyperlink w:anchor="_Toc504573060" w:history="1">
            <w:r w:rsidR="00084B3A" w:rsidRPr="00E8099C">
              <w:rPr>
                <w:rStyle w:val="Hyperlink"/>
                <w:noProof/>
                <w:lang w:val="en-GB"/>
              </w:rPr>
              <w:t>Section 2: Secondary &amp; Postsecondary Alignment</w:t>
            </w:r>
            <w:r w:rsidR="00084B3A">
              <w:rPr>
                <w:noProof/>
                <w:webHidden/>
              </w:rPr>
              <w:tab/>
            </w:r>
            <w:r w:rsidR="00084B3A">
              <w:rPr>
                <w:noProof/>
                <w:webHidden/>
              </w:rPr>
              <w:fldChar w:fldCharType="begin"/>
            </w:r>
            <w:r w:rsidR="00084B3A">
              <w:rPr>
                <w:noProof/>
                <w:webHidden/>
              </w:rPr>
              <w:instrText xml:space="preserve"> PAGEREF _Toc504573060 \h </w:instrText>
            </w:r>
            <w:r w:rsidR="00084B3A">
              <w:rPr>
                <w:noProof/>
                <w:webHidden/>
              </w:rPr>
            </w:r>
            <w:r w:rsidR="00084B3A">
              <w:rPr>
                <w:noProof/>
                <w:webHidden/>
              </w:rPr>
              <w:fldChar w:fldCharType="separate"/>
            </w:r>
            <w:r w:rsidR="0023188D">
              <w:rPr>
                <w:noProof/>
                <w:webHidden/>
              </w:rPr>
              <w:t>17</w:t>
            </w:r>
            <w:r w:rsidR="00084B3A">
              <w:rPr>
                <w:noProof/>
                <w:webHidden/>
              </w:rPr>
              <w:fldChar w:fldCharType="end"/>
            </w:r>
          </w:hyperlink>
        </w:p>
        <w:p w14:paraId="6964D1EF" w14:textId="77777777" w:rsidR="00084B3A" w:rsidRDefault="00934C08">
          <w:pPr>
            <w:pStyle w:val="TOC3"/>
            <w:rPr>
              <w:rFonts w:asciiTheme="minorHAnsi" w:eastAsiaTheme="minorEastAsia" w:hAnsiTheme="minorHAnsi"/>
              <w:b w:val="0"/>
            </w:rPr>
          </w:pPr>
          <w:hyperlink w:anchor="_Toc504573061" w:history="1">
            <w:r w:rsidR="00084B3A" w:rsidRPr="00E8099C">
              <w:rPr>
                <w:rStyle w:val="Hyperlink"/>
              </w:rPr>
              <w:t>Program Design</w:t>
            </w:r>
            <w:r w:rsidR="00084B3A">
              <w:rPr>
                <w:webHidden/>
              </w:rPr>
              <w:tab/>
            </w:r>
            <w:r w:rsidR="00084B3A">
              <w:rPr>
                <w:webHidden/>
              </w:rPr>
              <w:fldChar w:fldCharType="begin"/>
            </w:r>
            <w:r w:rsidR="00084B3A">
              <w:rPr>
                <w:webHidden/>
              </w:rPr>
              <w:instrText xml:space="preserve"> PAGEREF _Toc504573061 \h </w:instrText>
            </w:r>
            <w:r w:rsidR="00084B3A">
              <w:rPr>
                <w:webHidden/>
              </w:rPr>
            </w:r>
            <w:r w:rsidR="00084B3A">
              <w:rPr>
                <w:webHidden/>
              </w:rPr>
              <w:fldChar w:fldCharType="separate"/>
            </w:r>
            <w:r w:rsidR="0023188D">
              <w:rPr>
                <w:webHidden/>
              </w:rPr>
              <w:t>17</w:t>
            </w:r>
            <w:r w:rsidR="00084B3A">
              <w:rPr>
                <w:webHidden/>
              </w:rPr>
              <w:fldChar w:fldCharType="end"/>
            </w:r>
          </w:hyperlink>
        </w:p>
        <w:p w14:paraId="5BD6A42D" w14:textId="77777777" w:rsidR="00084B3A" w:rsidRDefault="00934C08">
          <w:pPr>
            <w:pStyle w:val="TOC3"/>
            <w:rPr>
              <w:rFonts w:asciiTheme="minorHAnsi" w:eastAsiaTheme="minorEastAsia" w:hAnsiTheme="minorHAnsi"/>
              <w:b w:val="0"/>
            </w:rPr>
          </w:pPr>
          <w:hyperlink w:anchor="_Toc504573062" w:history="1">
            <w:r w:rsidR="00084B3A" w:rsidRPr="00E8099C">
              <w:rPr>
                <w:rStyle w:val="Hyperlink"/>
              </w:rPr>
              <w:t>Articulation &amp; Transfer of Credit</w:t>
            </w:r>
            <w:r w:rsidR="00084B3A">
              <w:rPr>
                <w:webHidden/>
              </w:rPr>
              <w:tab/>
            </w:r>
            <w:r w:rsidR="00084B3A">
              <w:rPr>
                <w:webHidden/>
              </w:rPr>
              <w:fldChar w:fldCharType="begin"/>
            </w:r>
            <w:r w:rsidR="00084B3A">
              <w:rPr>
                <w:webHidden/>
              </w:rPr>
              <w:instrText xml:space="preserve"> PAGEREF _Toc504573062 \h </w:instrText>
            </w:r>
            <w:r w:rsidR="00084B3A">
              <w:rPr>
                <w:webHidden/>
              </w:rPr>
            </w:r>
            <w:r w:rsidR="00084B3A">
              <w:rPr>
                <w:webHidden/>
              </w:rPr>
              <w:fldChar w:fldCharType="separate"/>
            </w:r>
            <w:r w:rsidR="0023188D">
              <w:rPr>
                <w:webHidden/>
              </w:rPr>
              <w:t>18</w:t>
            </w:r>
            <w:r w:rsidR="00084B3A">
              <w:rPr>
                <w:webHidden/>
              </w:rPr>
              <w:fldChar w:fldCharType="end"/>
            </w:r>
          </w:hyperlink>
        </w:p>
        <w:p w14:paraId="546530D5" w14:textId="77777777" w:rsidR="00084B3A" w:rsidRDefault="00934C08">
          <w:pPr>
            <w:pStyle w:val="TOC3"/>
            <w:rPr>
              <w:rFonts w:asciiTheme="minorHAnsi" w:eastAsiaTheme="minorEastAsia" w:hAnsiTheme="minorHAnsi"/>
              <w:b w:val="0"/>
            </w:rPr>
          </w:pPr>
          <w:hyperlink w:anchor="_Toc504573063" w:history="1">
            <w:r w:rsidR="00084B3A" w:rsidRPr="00E8099C">
              <w:rPr>
                <w:rStyle w:val="Hyperlink"/>
              </w:rPr>
              <w:t>Key Questions:  Secondary &amp; Postsecondary Alignment</w:t>
            </w:r>
            <w:r w:rsidR="00084B3A">
              <w:rPr>
                <w:webHidden/>
              </w:rPr>
              <w:tab/>
            </w:r>
            <w:r w:rsidR="00084B3A">
              <w:rPr>
                <w:webHidden/>
              </w:rPr>
              <w:fldChar w:fldCharType="begin"/>
            </w:r>
            <w:r w:rsidR="00084B3A">
              <w:rPr>
                <w:webHidden/>
              </w:rPr>
              <w:instrText xml:space="preserve"> PAGEREF _Toc504573063 \h </w:instrText>
            </w:r>
            <w:r w:rsidR="00084B3A">
              <w:rPr>
                <w:webHidden/>
              </w:rPr>
            </w:r>
            <w:r w:rsidR="00084B3A">
              <w:rPr>
                <w:webHidden/>
              </w:rPr>
              <w:fldChar w:fldCharType="separate"/>
            </w:r>
            <w:r w:rsidR="0023188D">
              <w:rPr>
                <w:webHidden/>
              </w:rPr>
              <w:t>21</w:t>
            </w:r>
            <w:r w:rsidR="00084B3A">
              <w:rPr>
                <w:webHidden/>
              </w:rPr>
              <w:fldChar w:fldCharType="end"/>
            </w:r>
          </w:hyperlink>
        </w:p>
        <w:p w14:paraId="490F3717" w14:textId="77777777" w:rsidR="00084B3A" w:rsidRDefault="00934C08">
          <w:pPr>
            <w:pStyle w:val="TOC2"/>
            <w:tabs>
              <w:tab w:val="right" w:leader="dot" w:pos="9350"/>
            </w:tabs>
            <w:rPr>
              <w:rFonts w:asciiTheme="minorHAnsi" w:eastAsiaTheme="minorEastAsia" w:hAnsiTheme="minorHAnsi"/>
              <w:noProof/>
            </w:rPr>
          </w:pPr>
          <w:hyperlink w:anchor="_Toc504573064" w:history="1">
            <w:r w:rsidR="00084B3A" w:rsidRPr="00E8099C">
              <w:rPr>
                <w:rStyle w:val="Hyperlink"/>
                <w:noProof/>
              </w:rPr>
              <w:t>Section 3: Quality Programs of Study</w:t>
            </w:r>
            <w:r w:rsidR="00084B3A">
              <w:rPr>
                <w:noProof/>
                <w:webHidden/>
              </w:rPr>
              <w:tab/>
            </w:r>
            <w:r w:rsidR="00084B3A">
              <w:rPr>
                <w:noProof/>
                <w:webHidden/>
              </w:rPr>
              <w:fldChar w:fldCharType="begin"/>
            </w:r>
            <w:r w:rsidR="00084B3A">
              <w:rPr>
                <w:noProof/>
                <w:webHidden/>
              </w:rPr>
              <w:instrText xml:space="preserve"> PAGEREF _Toc504573064 \h </w:instrText>
            </w:r>
            <w:r w:rsidR="00084B3A">
              <w:rPr>
                <w:noProof/>
                <w:webHidden/>
              </w:rPr>
            </w:r>
            <w:r w:rsidR="00084B3A">
              <w:rPr>
                <w:noProof/>
                <w:webHidden/>
              </w:rPr>
              <w:fldChar w:fldCharType="separate"/>
            </w:r>
            <w:r w:rsidR="0023188D">
              <w:rPr>
                <w:noProof/>
                <w:webHidden/>
              </w:rPr>
              <w:t>22</w:t>
            </w:r>
            <w:r w:rsidR="00084B3A">
              <w:rPr>
                <w:noProof/>
                <w:webHidden/>
              </w:rPr>
              <w:fldChar w:fldCharType="end"/>
            </w:r>
          </w:hyperlink>
        </w:p>
        <w:p w14:paraId="67C153C8" w14:textId="77777777" w:rsidR="00084B3A" w:rsidRDefault="00934C08">
          <w:pPr>
            <w:pStyle w:val="TOC3"/>
            <w:rPr>
              <w:rFonts w:asciiTheme="minorHAnsi" w:eastAsiaTheme="minorEastAsia" w:hAnsiTheme="minorHAnsi"/>
              <w:b w:val="0"/>
            </w:rPr>
          </w:pPr>
          <w:hyperlink w:anchor="_Toc504573065" w:history="1">
            <w:r w:rsidR="00084B3A" w:rsidRPr="00E8099C">
              <w:rPr>
                <w:rStyle w:val="Hyperlink"/>
              </w:rPr>
              <w:t>CTE Standards &amp; Course Sequencing</w:t>
            </w:r>
            <w:r w:rsidR="00084B3A">
              <w:rPr>
                <w:webHidden/>
              </w:rPr>
              <w:tab/>
            </w:r>
            <w:r w:rsidR="00084B3A">
              <w:rPr>
                <w:webHidden/>
              </w:rPr>
              <w:fldChar w:fldCharType="begin"/>
            </w:r>
            <w:r w:rsidR="00084B3A">
              <w:rPr>
                <w:webHidden/>
              </w:rPr>
              <w:instrText xml:space="preserve"> PAGEREF _Toc504573065 \h </w:instrText>
            </w:r>
            <w:r w:rsidR="00084B3A">
              <w:rPr>
                <w:webHidden/>
              </w:rPr>
            </w:r>
            <w:r w:rsidR="00084B3A">
              <w:rPr>
                <w:webHidden/>
              </w:rPr>
              <w:fldChar w:fldCharType="separate"/>
            </w:r>
            <w:r w:rsidR="0023188D">
              <w:rPr>
                <w:webHidden/>
              </w:rPr>
              <w:t>22</w:t>
            </w:r>
            <w:r w:rsidR="00084B3A">
              <w:rPr>
                <w:webHidden/>
              </w:rPr>
              <w:fldChar w:fldCharType="end"/>
            </w:r>
          </w:hyperlink>
        </w:p>
        <w:p w14:paraId="7EB8051B" w14:textId="77777777" w:rsidR="00084B3A" w:rsidRDefault="00934C08">
          <w:pPr>
            <w:pStyle w:val="TOC3"/>
            <w:rPr>
              <w:rFonts w:asciiTheme="minorHAnsi" w:eastAsiaTheme="minorEastAsia" w:hAnsiTheme="minorHAnsi"/>
              <w:b w:val="0"/>
            </w:rPr>
          </w:pPr>
          <w:hyperlink w:anchor="_Toc504573066" w:history="1">
            <w:r w:rsidR="00084B3A" w:rsidRPr="00E8099C">
              <w:rPr>
                <w:rStyle w:val="Hyperlink"/>
              </w:rPr>
              <w:t>Key Questions: CTE Standards &amp; Course Sequencing</w:t>
            </w:r>
            <w:r w:rsidR="00084B3A">
              <w:rPr>
                <w:webHidden/>
              </w:rPr>
              <w:tab/>
            </w:r>
            <w:r w:rsidR="00084B3A">
              <w:rPr>
                <w:webHidden/>
              </w:rPr>
              <w:fldChar w:fldCharType="begin"/>
            </w:r>
            <w:r w:rsidR="00084B3A">
              <w:rPr>
                <w:webHidden/>
              </w:rPr>
              <w:instrText xml:space="preserve"> PAGEREF _Toc504573066 \h </w:instrText>
            </w:r>
            <w:r w:rsidR="00084B3A">
              <w:rPr>
                <w:webHidden/>
              </w:rPr>
            </w:r>
            <w:r w:rsidR="00084B3A">
              <w:rPr>
                <w:webHidden/>
              </w:rPr>
              <w:fldChar w:fldCharType="separate"/>
            </w:r>
            <w:r w:rsidR="0023188D">
              <w:rPr>
                <w:webHidden/>
              </w:rPr>
              <w:t>24</w:t>
            </w:r>
            <w:r w:rsidR="00084B3A">
              <w:rPr>
                <w:webHidden/>
              </w:rPr>
              <w:fldChar w:fldCharType="end"/>
            </w:r>
          </w:hyperlink>
        </w:p>
        <w:p w14:paraId="74A8DAC3" w14:textId="77777777" w:rsidR="00084B3A" w:rsidRDefault="00934C08">
          <w:pPr>
            <w:pStyle w:val="TOC3"/>
            <w:rPr>
              <w:rFonts w:asciiTheme="minorHAnsi" w:eastAsiaTheme="minorEastAsia" w:hAnsiTheme="minorHAnsi"/>
              <w:b w:val="0"/>
            </w:rPr>
          </w:pPr>
          <w:hyperlink w:anchor="_Toc504573067" w:history="1">
            <w:r w:rsidR="00084B3A" w:rsidRPr="00E8099C">
              <w:rPr>
                <w:rStyle w:val="Hyperlink"/>
              </w:rPr>
              <w:t>Labor Market Alignment</w:t>
            </w:r>
            <w:r w:rsidR="00084B3A">
              <w:rPr>
                <w:webHidden/>
              </w:rPr>
              <w:tab/>
            </w:r>
            <w:r w:rsidR="00084B3A">
              <w:rPr>
                <w:webHidden/>
              </w:rPr>
              <w:fldChar w:fldCharType="begin"/>
            </w:r>
            <w:r w:rsidR="00084B3A">
              <w:rPr>
                <w:webHidden/>
              </w:rPr>
              <w:instrText xml:space="preserve"> PAGEREF _Toc504573067 \h </w:instrText>
            </w:r>
            <w:r w:rsidR="00084B3A">
              <w:rPr>
                <w:webHidden/>
              </w:rPr>
            </w:r>
            <w:r w:rsidR="00084B3A">
              <w:rPr>
                <w:webHidden/>
              </w:rPr>
              <w:fldChar w:fldCharType="separate"/>
            </w:r>
            <w:r w:rsidR="0023188D">
              <w:rPr>
                <w:webHidden/>
              </w:rPr>
              <w:t>25</w:t>
            </w:r>
            <w:r w:rsidR="00084B3A">
              <w:rPr>
                <w:webHidden/>
              </w:rPr>
              <w:fldChar w:fldCharType="end"/>
            </w:r>
          </w:hyperlink>
        </w:p>
        <w:p w14:paraId="0CDD51B8" w14:textId="77777777" w:rsidR="00084B3A" w:rsidRDefault="00934C08">
          <w:pPr>
            <w:pStyle w:val="TOC3"/>
            <w:rPr>
              <w:rFonts w:asciiTheme="minorHAnsi" w:eastAsiaTheme="minorEastAsia" w:hAnsiTheme="minorHAnsi"/>
              <w:b w:val="0"/>
            </w:rPr>
          </w:pPr>
          <w:hyperlink w:anchor="_Toc504573068" w:history="1">
            <w:r w:rsidR="00084B3A" w:rsidRPr="00E8099C">
              <w:rPr>
                <w:rStyle w:val="Hyperlink"/>
              </w:rPr>
              <w:t>Key Questions:  Labor Market Alignment</w:t>
            </w:r>
            <w:r w:rsidR="00084B3A">
              <w:rPr>
                <w:webHidden/>
              </w:rPr>
              <w:tab/>
            </w:r>
            <w:r w:rsidR="00084B3A">
              <w:rPr>
                <w:webHidden/>
              </w:rPr>
              <w:fldChar w:fldCharType="begin"/>
            </w:r>
            <w:r w:rsidR="00084B3A">
              <w:rPr>
                <w:webHidden/>
              </w:rPr>
              <w:instrText xml:space="preserve"> PAGEREF _Toc504573068 \h </w:instrText>
            </w:r>
            <w:r w:rsidR="00084B3A">
              <w:rPr>
                <w:webHidden/>
              </w:rPr>
            </w:r>
            <w:r w:rsidR="00084B3A">
              <w:rPr>
                <w:webHidden/>
              </w:rPr>
              <w:fldChar w:fldCharType="separate"/>
            </w:r>
            <w:r w:rsidR="0023188D">
              <w:rPr>
                <w:webHidden/>
              </w:rPr>
              <w:t>26</w:t>
            </w:r>
            <w:r w:rsidR="00084B3A">
              <w:rPr>
                <w:webHidden/>
              </w:rPr>
              <w:fldChar w:fldCharType="end"/>
            </w:r>
          </w:hyperlink>
        </w:p>
        <w:p w14:paraId="2194C275" w14:textId="77777777" w:rsidR="00084B3A" w:rsidRDefault="00934C08">
          <w:pPr>
            <w:pStyle w:val="TOC3"/>
            <w:rPr>
              <w:rFonts w:asciiTheme="minorHAnsi" w:eastAsiaTheme="minorEastAsia" w:hAnsiTheme="minorHAnsi"/>
              <w:b w:val="0"/>
            </w:rPr>
          </w:pPr>
          <w:hyperlink w:anchor="_Toc504573069" w:history="1">
            <w:r w:rsidR="00084B3A" w:rsidRPr="00E8099C">
              <w:rPr>
                <w:rStyle w:val="Hyperlink"/>
              </w:rPr>
              <w:t>Credentials of Value</w:t>
            </w:r>
            <w:r w:rsidR="00084B3A">
              <w:rPr>
                <w:webHidden/>
              </w:rPr>
              <w:tab/>
            </w:r>
            <w:r w:rsidR="00084B3A">
              <w:rPr>
                <w:webHidden/>
              </w:rPr>
              <w:fldChar w:fldCharType="begin"/>
            </w:r>
            <w:r w:rsidR="00084B3A">
              <w:rPr>
                <w:webHidden/>
              </w:rPr>
              <w:instrText xml:space="preserve"> PAGEREF _Toc504573069 \h </w:instrText>
            </w:r>
            <w:r w:rsidR="00084B3A">
              <w:rPr>
                <w:webHidden/>
              </w:rPr>
            </w:r>
            <w:r w:rsidR="00084B3A">
              <w:rPr>
                <w:webHidden/>
              </w:rPr>
              <w:fldChar w:fldCharType="separate"/>
            </w:r>
            <w:r w:rsidR="0023188D">
              <w:rPr>
                <w:webHidden/>
              </w:rPr>
              <w:t>27</w:t>
            </w:r>
            <w:r w:rsidR="00084B3A">
              <w:rPr>
                <w:webHidden/>
              </w:rPr>
              <w:fldChar w:fldCharType="end"/>
            </w:r>
          </w:hyperlink>
        </w:p>
        <w:p w14:paraId="62F4C856" w14:textId="77777777" w:rsidR="00084B3A" w:rsidRDefault="00934C08">
          <w:pPr>
            <w:pStyle w:val="TOC3"/>
            <w:rPr>
              <w:rFonts w:asciiTheme="minorHAnsi" w:eastAsiaTheme="minorEastAsia" w:hAnsiTheme="minorHAnsi"/>
              <w:b w:val="0"/>
            </w:rPr>
          </w:pPr>
          <w:hyperlink w:anchor="_Toc504573070" w:history="1">
            <w:r w:rsidR="00084B3A" w:rsidRPr="00E8099C">
              <w:rPr>
                <w:rStyle w:val="Hyperlink"/>
              </w:rPr>
              <w:t>Key Questions: Credentials of Value</w:t>
            </w:r>
            <w:r w:rsidR="00084B3A">
              <w:rPr>
                <w:webHidden/>
              </w:rPr>
              <w:tab/>
            </w:r>
            <w:r w:rsidR="00084B3A">
              <w:rPr>
                <w:webHidden/>
              </w:rPr>
              <w:fldChar w:fldCharType="begin"/>
            </w:r>
            <w:r w:rsidR="00084B3A">
              <w:rPr>
                <w:webHidden/>
              </w:rPr>
              <w:instrText xml:space="preserve"> PAGEREF _Toc504573070 \h </w:instrText>
            </w:r>
            <w:r w:rsidR="00084B3A">
              <w:rPr>
                <w:webHidden/>
              </w:rPr>
            </w:r>
            <w:r w:rsidR="00084B3A">
              <w:rPr>
                <w:webHidden/>
              </w:rPr>
              <w:fldChar w:fldCharType="separate"/>
            </w:r>
            <w:r w:rsidR="0023188D">
              <w:rPr>
                <w:webHidden/>
              </w:rPr>
              <w:t>28</w:t>
            </w:r>
            <w:r w:rsidR="00084B3A">
              <w:rPr>
                <w:webHidden/>
              </w:rPr>
              <w:fldChar w:fldCharType="end"/>
            </w:r>
          </w:hyperlink>
        </w:p>
        <w:p w14:paraId="63B6702B" w14:textId="77777777" w:rsidR="00084B3A" w:rsidRDefault="00934C08">
          <w:pPr>
            <w:pStyle w:val="TOC2"/>
            <w:tabs>
              <w:tab w:val="right" w:leader="dot" w:pos="9350"/>
            </w:tabs>
            <w:rPr>
              <w:rFonts w:asciiTheme="minorHAnsi" w:eastAsiaTheme="minorEastAsia" w:hAnsiTheme="minorHAnsi"/>
              <w:noProof/>
            </w:rPr>
          </w:pPr>
          <w:hyperlink w:anchor="_Toc504573071" w:history="1">
            <w:r w:rsidR="00084B3A" w:rsidRPr="00E8099C">
              <w:rPr>
                <w:rStyle w:val="Hyperlink"/>
                <w:noProof/>
              </w:rPr>
              <w:t>Section 4: Program of Study Review &amp; Re-Approval</w:t>
            </w:r>
            <w:r w:rsidR="00084B3A">
              <w:rPr>
                <w:noProof/>
                <w:webHidden/>
              </w:rPr>
              <w:tab/>
            </w:r>
            <w:r w:rsidR="00084B3A">
              <w:rPr>
                <w:noProof/>
                <w:webHidden/>
              </w:rPr>
              <w:fldChar w:fldCharType="begin"/>
            </w:r>
            <w:r w:rsidR="00084B3A">
              <w:rPr>
                <w:noProof/>
                <w:webHidden/>
              </w:rPr>
              <w:instrText xml:space="preserve"> PAGEREF _Toc504573071 \h </w:instrText>
            </w:r>
            <w:r w:rsidR="00084B3A">
              <w:rPr>
                <w:noProof/>
                <w:webHidden/>
              </w:rPr>
            </w:r>
            <w:r w:rsidR="00084B3A">
              <w:rPr>
                <w:noProof/>
                <w:webHidden/>
              </w:rPr>
              <w:fldChar w:fldCharType="separate"/>
            </w:r>
            <w:r w:rsidR="0023188D">
              <w:rPr>
                <w:noProof/>
                <w:webHidden/>
              </w:rPr>
              <w:t>29</w:t>
            </w:r>
            <w:r w:rsidR="00084B3A">
              <w:rPr>
                <w:noProof/>
                <w:webHidden/>
              </w:rPr>
              <w:fldChar w:fldCharType="end"/>
            </w:r>
          </w:hyperlink>
        </w:p>
        <w:p w14:paraId="68FA1529" w14:textId="77777777" w:rsidR="00084B3A" w:rsidRDefault="00934C08">
          <w:pPr>
            <w:pStyle w:val="TOC3"/>
            <w:rPr>
              <w:rFonts w:asciiTheme="minorHAnsi" w:eastAsiaTheme="minorEastAsia" w:hAnsiTheme="minorHAnsi"/>
              <w:b w:val="0"/>
            </w:rPr>
          </w:pPr>
          <w:hyperlink w:anchor="_Toc504573072" w:history="1">
            <w:r w:rsidR="00084B3A" w:rsidRPr="00E8099C">
              <w:rPr>
                <w:rStyle w:val="Hyperlink"/>
              </w:rPr>
              <w:t>Key Questions:  Program of Study Review</w:t>
            </w:r>
            <w:r w:rsidR="00084B3A">
              <w:rPr>
                <w:webHidden/>
              </w:rPr>
              <w:tab/>
            </w:r>
            <w:r w:rsidR="00084B3A">
              <w:rPr>
                <w:webHidden/>
              </w:rPr>
              <w:fldChar w:fldCharType="begin"/>
            </w:r>
            <w:r w:rsidR="00084B3A">
              <w:rPr>
                <w:webHidden/>
              </w:rPr>
              <w:instrText xml:space="preserve"> PAGEREF _Toc504573072 \h </w:instrText>
            </w:r>
            <w:r w:rsidR="00084B3A">
              <w:rPr>
                <w:webHidden/>
              </w:rPr>
            </w:r>
            <w:r w:rsidR="00084B3A">
              <w:rPr>
                <w:webHidden/>
              </w:rPr>
              <w:fldChar w:fldCharType="separate"/>
            </w:r>
            <w:r w:rsidR="0023188D">
              <w:rPr>
                <w:webHidden/>
              </w:rPr>
              <w:t>29</w:t>
            </w:r>
            <w:r w:rsidR="00084B3A">
              <w:rPr>
                <w:webHidden/>
              </w:rPr>
              <w:fldChar w:fldCharType="end"/>
            </w:r>
          </w:hyperlink>
        </w:p>
        <w:p w14:paraId="5D0AA32E" w14:textId="77777777" w:rsidR="00084B3A" w:rsidRDefault="00934C08">
          <w:pPr>
            <w:pStyle w:val="TOC1"/>
            <w:tabs>
              <w:tab w:val="right" w:leader="dot" w:pos="9350"/>
            </w:tabs>
            <w:rPr>
              <w:rFonts w:asciiTheme="minorHAnsi" w:eastAsiaTheme="minorEastAsia" w:hAnsiTheme="minorHAnsi"/>
              <w:noProof/>
            </w:rPr>
          </w:pPr>
          <w:hyperlink w:anchor="_Toc504573073" w:history="1">
            <w:r w:rsidR="00084B3A" w:rsidRPr="00E8099C">
              <w:rPr>
                <w:rStyle w:val="Hyperlink"/>
                <w:rFonts w:eastAsiaTheme="majorEastAsia" w:cstheme="majorBidi"/>
                <w:b/>
                <w:noProof/>
              </w:rPr>
              <w:t>Final Reflections &amp; Next Steps</w:t>
            </w:r>
            <w:r w:rsidR="00084B3A">
              <w:rPr>
                <w:noProof/>
                <w:webHidden/>
              </w:rPr>
              <w:tab/>
            </w:r>
            <w:r w:rsidR="00084B3A">
              <w:rPr>
                <w:noProof/>
                <w:webHidden/>
              </w:rPr>
              <w:fldChar w:fldCharType="begin"/>
            </w:r>
            <w:r w:rsidR="00084B3A">
              <w:rPr>
                <w:noProof/>
                <w:webHidden/>
              </w:rPr>
              <w:instrText xml:space="preserve"> PAGEREF _Toc504573073 \h </w:instrText>
            </w:r>
            <w:r w:rsidR="00084B3A">
              <w:rPr>
                <w:noProof/>
                <w:webHidden/>
              </w:rPr>
            </w:r>
            <w:r w:rsidR="00084B3A">
              <w:rPr>
                <w:noProof/>
                <w:webHidden/>
              </w:rPr>
              <w:fldChar w:fldCharType="separate"/>
            </w:r>
            <w:r w:rsidR="0023188D">
              <w:rPr>
                <w:noProof/>
                <w:webHidden/>
              </w:rPr>
              <w:t>31</w:t>
            </w:r>
            <w:r w:rsidR="00084B3A">
              <w:rPr>
                <w:noProof/>
                <w:webHidden/>
              </w:rPr>
              <w:fldChar w:fldCharType="end"/>
            </w:r>
          </w:hyperlink>
        </w:p>
        <w:p w14:paraId="7C22FB04" w14:textId="77777777" w:rsidR="00084B3A" w:rsidRDefault="00934C08">
          <w:pPr>
            <w:pStyle w:val="TOC1"/>
            <w:tabs>
              <w:tab w:val="right" w:leader="dot" w:pos="9350"/>
            </w:tabs>
            <w:rPr>
              <w:rFonts w:asciiTheme="minorHAnsi" w:eastAsiaTheme="minorEastAsia" w:hAnsiTheme="minorHAnsi"/>
              <w:noProof/>
            </w:rPr>
          </w:pPr>
          <w:hyperlink w:anchor="_Toc504573074" w:history="1">
            <w:r w:rsidR="00084B3A" w:rsidRPr="00E8099C">
              <w:rPr>
                <w:rStyle w:val="Hyperlink"/>
                <w:b/>
                <w:noProof/>
              </w:rPr>
              <w:t>Appendix A: Planning Chart</w:t>
            </w:r>
            <w:r w:rsidR="00084B3A">
              <w:rPr>
                <w:noProof/>
                <w:webHidden/>
              </w:rPr>
              <w:tab/>
            </w:r>
            <w:r w:rsidR="00084B3A">
              <w:rPr>
                <w:noProof/>
                <w:webHidden/>
              </w:rPr>
              <w:fldChar w:fldCharType="begin"/>
            </w:r>
            <w:r w:rsidR="00084B3A">
              <w:rPr>
                <w:noProof/>
                <w:webHidden/>
              </w:rPr>
              <w:instrText xml:space="preserve"> PAGEREF _Toc504573074 \h </w:instrText>
            </w:r>
            <w:r w:rsidR="00084B3A">
              <w:rPr>
                <w:noProof/>
                <w:webHidden/>
              </w:rPr>
            </w:r>
            <w:r w:rsidR="00084B3A">
              <w:rPr>
                <w:noProof/>
                <w:webHidden/>
              </w:rPr>
              <w:fldChar w:fldCharType="separate"/>
            </w:r>
            <w:r w:rsidR="0023188D">
              <w:rPr>
                <w:noProof/>
                <w:webHidden/>
              </w:rPr>
              <w:t>32</w:t>
            </w:r>
            <w:r w:rsidR="00084B3A">
              <w:rPr>
                <w:noProof/>
                <w:webHidden/>
              </w:rPr>
              <w:fldChar w:fldCharType="end"/>
            </w:r>
          </w:hyperlink>
        </w:p>
        <w:p w14:paraId="7BF1CAEF" w14:textId="77777777" w:rsidR="00355AD9" w:rsidRDefault="00606BD0" w:rsidP="00C22985">
          <w:r>
            <w:rPr>
              <w:b/>
              <w:bCs/>
              <w:noProof/>
            </w:rPr>
            <w:fldChar w:fldCharType="end"/>
          </w:r>
        </w:p>
      </w:sdtContent>
    </w:sdt>
    <w:p w14:paraId="06032D30" w14:textId="77777777" w:rsidR="00355AD9" w:rsidRDefault="00355AD9" w:rsidP="00C22985">
      <w:pPr>
        <w:rPr>
          <w:color w:val="000000" w:themeColor="text1"/>
        </w:rPr>
      </w:pPr>
      <w:r>
        <w:rPr>
          <w:color w:val="000000" w:themeColor="text1"/>
        </w:rPr>
        <w:br w:type="page"/>
      </w:r>
    </w:p>
    <w:p w14:paraId="06CB64C6" w14:textId="77777777" w:rsidR="001A4AE9" w:rsidRPr="001A4AE9" w:rsidRDefault="001A4AE9" w:rsidP="001A4AE9">
      <w:pPr>
        <w:pStyle w:val="Style1"/>
        <w:numPr>
          <w:ilvl w:val="0"/>
          <w:numId w:val="0"/>
        </w:numPr>
        <w:rPr>
          <w:b/>
        </w:rPr>
      </w:pPr>
      <w:bookmarkStart w:id="4" w:name="_Toc504573046"/>
      <w:r>
        <w:rPr>
          <w:b/>
        </w:rPr>
        <w:lastRenderedPageBreak/>
        <w:t>How to Use the Modules</w:t>
      </w:r>
      <w:bookmarkEnd w:id="4"/>
    </w:p>
    <w:p w14:paraId="43E5ACD0" w14:textId="77777777" w:rsidR="001A4AE9" w:rsidRDefault="001A4AE9" w:rsidP="001A4AE9">
      <w:r>
        <w:t xml:space="preserve">The New State Director Leadership Program is designed to fit the natural learning curve of new State CTE Directors as they explore their state CTE system as well as the policies and decisions that undergird it. To that end, Advance CTE has developed a 12-month curriculum with two in-person meetings, two webinars and intermittent optional phone calls to provide comprehensive supports to these new leaders. The program, with its curriculum, touchpoints and mentorship, is designed to allow new State Directors to access the support they need, when they need it. </w:t>
      </w:r>
    </w:p>
    <w:p w14:paraId="5D2379D5" w14:textId="77777777" w:rsidR="001A4AE9" w:rsidRDefault="001A4AE9" w:rsidP="001A4AE9"/>
    <w:p w14:paraId="197538DA" w14:textId="6E368558" w:rsidR="001A4AE9" w:rsidRDefault="001A4AE9" w:rsidP="001A4AE9">
      <w:r>
        <w:t>This module is part of the 12-month curriculum</w:t>
      </w:r>
      <w:r w:rsidR="000C763C">
        <w:t xml:space="preserve"> that </w:t>
      </w:r>
      <w:r>
        <w:t xml:space="preserve">is designed to help you be inquisitive about your state’s current “state of play,” evaluate the responses and information you gather, see what gaps exist and determine if, how and when you may want to take action. By answering the guiding questions and adding data where appropriate, you will be able to better visualize both where you are currently and where you want to take your state system. </w:t>
      </w:r>
    </w:p>
    <w:p w14:paraId="4112B399" w14:textId="77777777" w:rsidR="001A4AE9" w:rsidRDefault="001A4AE9" w:rsidP="001A4AE9"/>
    <w:p w14:paraId="0580DB76" w14:textId="77777777" w:rsidR="001A4AE9" w:rsidRDefault="001A4AE9" w:rsidP="001A4AE9">
      <w:r>
        <w:t>The modules are laid out to help you organize your thoughts and guide effective discussions with your mentor and Advance CTE staff who can help you consider and benchmark your findings, as well as provide resources, support and targeted technical assistance as you work your way through the modules.</w:t>
      </w:r>
    </w:p>
    <w:p w14:paraId="3B700067" w14:textId="77777777" w:rsidR="001A4AE9" w:rsidRDefault="001A4AE9" w:rsidP="001A4AE9"/>
    <w:p w14:paraId="52CC54A5" w14:textId="77777777" w:rsidR="001A4AE9" w:rsidRPr="00D47F2E" w:rsidRDefault="001A4AE9" w:rsidP="001A4AE9">
      <w:pPr>
        <w:rPr>
          <w:i/>
        </w:rPr>
      </w:pPr>
      <w:r>
        <w:rPr>
          <w:i/>
        </w:rPr>
        <w:t xml:space="preserve">Disclaimer:  The modules do not </w:t>
      </w:r>
      <w:r w:rsidRPr="00D47F2E">
        <w:rPr>
          <w:i/>
        </w:rPr>
        <w:t xml:space="preserve">constitute or replace legal advice. We encourage you to check with any relevant state and federal guidance and regulatory requirements to ensure compliance. Further, the examples listed </w:t>
      </w:r>
      <w:r>
        <w:rPr>
          <w:i/>
        </w:rPr>
        <w:t>within</w:t>
      </w:r>
      <w:r w:rsidRPr="00D47F2E">
        <w:rPr>
          <w:i/>
        </w:rPr>
        <w:t xml:space="preserve"> are not endorsements nor should be </w:t>
      </w:r>
      <w:r>
        <w:rPr>
          <w:i/>
        </w:rPr>
        <w:t>considered a comprehensive list.</w:t>
      </w:r>
    </w:p>
    <w:p w14:paraId="03D826FF" w14:textId="77777777" w:rsidR="001A4AE9" w:rsidRDefault="001A4AE9" w:rsidP="001A4AE9">
      <w:pPr>
        <w:tabs>
          <w:tab w:val="left" w:pos="1410"/>
        </w:tabs>
      </w:pPr>
      <w:r>
        <w:tab/>
      </w:r>
    </w:p>
    <w:p w14:paraId="165CAB14" w14:textId="77777777" w:rsidR="001A4AE9" w:rsidRDefault="001A4AE9">
      <w:pPr>
        <w:spacing w:after="160" w:line="259" w:lineRule="auto"/>
        <w:rPr>
          <w:rFonts w:eastAsiaTheme="majorEastAsia" w:cstheme="majorBidi"/>
          <w:b/>
          <w:noProof/>
          <w:color w:val="009AA6"/>
          <w:sz w:val="32"/>
          <w:szCs w:val="32"/>
        </w:rPr>
      </w:pPr>
      <w:bookmarkStart w:id="5" w:name="_Toc495335820"/>
      <w:r>
        <w:rPr>
          <w:b/>
        </w:rPr>
        <w:br w:type="page"/>
      </w:r>
    </w:p>
    <w:p w14:paraId="7C1BD8B5" w14:textId="77777777" w:rsidR="001A4AE9" w:rsidRDefault="001A4AE9" w:rsidP="001A4AE9">
      <w:pPr>
        <w:pStyle w:val="Style1"/>
        <w:numPr>
          <w:ilvl w:val="0"/>
          <w:numId w:val="0"/>
        </w:numPr>
        <w:rPr>
          <w:b/>
        </w:rPr>
      </w:pPr>
      <w:bookmarkStart w:id="6" w:name="_Toc504573047"/>
      <w:r w:rsidRPr="001A4AE9">
        <w:rPr>
          <w:b/>
        </w:rPr>
        <w:lastRenderedPageBreak/>
        <w:t>Module Objectives</w:t>
      </w:r>
      <w:bookmarkEnd w:id="5"/>
      <w:r>
        <w:rPr>
          <w:b/>
        </w:rPr>
        <w:t xml:space="preserve"> &amp; Pre-Module Survey</w:t>
      </w:r>
      <w:bookmarkEnd w:id="6"/>
    </w:p>
    <w:p w14:paraId="53558BAB" w14:textId="7E3B897B" w:rsidR="001A4AE9" w:rsidRDefault="001A4AE9" w:rsidP="001A4AE9">
      <w:pPr>
        <w:pStyle w:val="NoSpacing"/>
        <w:spacing w:before="120"/>
      </w:pPr>
      <w:bookmarkStart w:id="7" w:name="_Toc504573048"/>
      <w:r w:rsidRPr="001A4AE9">
        <w:rPr>
          <w:rStyle w:val="Heading2Char"/>
          <w:b w:val="0"/>
          <w:i w:val="0"/>
        </w:rPr>
        <w:t>Module Objectives</w:t>
      </w:r>
      <w:bookmarkEnd w:id="7"/>
      <w:r w:rsidRPr="00433592">
        <w:rPr>
          <w:b/>
          <w:i/>
          <w:color w:val="FF6D14"/>
          <w:sz w:val="24"/>
        </w:rPr>
        <w:br/>
      </w:r>
      <w:r w:rsidR="00472783">
        <w:t xml:space="preserve">This module is designed to help you take action around </w:t>
      </w:r>
      <w:r>
        <w:t>program</w:t>
      </w:r>
      <w:r w:rsidR="00472783">
        <w:t>s</w:t>
      </w:r>
      <w:r>
        <w:t xml:space="preserve"> of study</w:t>
      </w:r>
      <w:r w:rsidR="00472783">
        <w:t>, primarily by:</w:t>
      </w:r>
    </w:p>
    <w:p w14:paraId="13DBF8F7" w14:textId="77777777" w:rsidR="00472783" w:rsidRDefault="001A4AE9" w:rsidP="001A4AE9">
      <w:pPr>
        <w:pStyle w:val="ListParagraph"/>
        <w:numPr>
          <w:ilvl w:val="0"/>
          <w:numId w:val="1"/>
        </w:numPr>
      </w:pPr>
      <w:r>
        <w:t>Understand</w:t>
      </w:r>
      <w:r w:rsidR="00472783">
        <w:t>ing</w:t>
      </w:r>
      <w:r>
        <w:t xml:space="preserve"> </w:t>
      </w:r>
      <w:r w:rsidR="00472783">
        <w:t>the major components of a high-quality program of study;</w:t>
      </w:r>
    </w:p>
    <w:p w14:paraId="78EAC709" w14:textId="77777777" w:rsidR="001A4AE9" w:rsidRDefault="00472783" w:rsidP="001A4AE9">
      <w:pPr>
        <w:pStyle w:val="ListParagraph"/>
        <w:numPr>
          <w:ilvl w:val="0"/>
          <w:numId w:val="1"/>
        </w:numPr>
      </w:pPr>
      <w:r>
        <w:t xml:space="preserve">Learning </w:t>
      </w:r>
      <w:r w:rsidR="001A4AE9">
        <w:t>how programs of study can and do advance your vision for high-quality CTE</w:t>
      </w:r>
      <w:r>
        <w:t>;</w:t>
      </w:r>
      <w:r w:rsidR="001A4AE9">
        <w:t xml:space="preserve"> </w:t>
      </w:r>
    </w:p>
    <w:p w14:paraId="61E2A405" w14:textId="69FC242D" w:rsidR="001A4AE9" w:rsidRDefault="001A4AE9" w:rsidP="001A4AE9">
      <w:pPr>
        <w:pStyle w:val="ListParagraph"/>
        <w:numPr>
          <w:ilvl w:val="0"/>
          <w:numId w:val="1"/>
        </w:numPr>
      </w:pPr>
      <w:r>
        <w:t>Assess</w:t>
      </w:r>
      <w:r w:rsidR="00472783">
        <w:t>ing</w:t>
      </w:r>
      <w:r>
        <w:t xml:space="preserve"> how your state currently structures its CTE programs </w:t>
      </w:r>
      <w:r w:rsidR="004E14BD">
        <w:t xml:space="preserve">of study </w:t>
      </w:r>
      <w:r>
        <w:t>and leverages policies such as program approval, evaluation and federal monitoring to ensure quality and fidelity of implementation</w:t>
      </w:r>
      <w:r w:rsidR="00472783">
        <w:t>;</w:t>
      </w:r>
      <w:r>
        <w:t xml:space="preserve"> </w:t>
      </w:r>
    </w:p>
    <w:p w14:paraId="4EBB487B" w14:textId="77777777" w:rsidR="001A4AE9" w:rsidRPr="00920676" w:rsidRDefault="001A4AE9" w:rsidP="001A4AE9">
      <w:pPr>
        <w:pStyle w:val="ListParagraph"/>
        <w:numPr>
          <w:ilvl w:val="0"/>
          <w:numId w:val="1"/>
        </w:numPr>
      </w:pPr>
      <w:r w:rsidRPr="00920676">
        <w:t>Identify</w:t>
      </w:r>
      <w:r w:rsidR="00472783">
        <w:t>ing</w:t>
      </w:r>
      <w:r w:rsidRPr="00920676">
        <w:t xml:space="preserve"> areas for strengthening your state’s CTE program offerings and </w:t>
      </w:r>
      <w:r w:rsidR="00920676" w:rsidRPr="00920676">
        <w:t>approval policies</w:t>
      </w:r>
      <w:r w:rsidR="00472783">
        <w:t>;</w:t>
      </w:r>
    </w:p>
    <w:p w14:paraId="01D86969" w14:textId="24DC4C75" w:rsidR="001A4AE9" w:rsidRDefault="003664C0" w:rsidP="001A4AE9">
      <w:pPr>
        <w:pStyle w:val="ListParagraph"/>
        <w:numPr>
          <w:ilvl w:val="0"/>
          <w:numId w:val="1"/>
        </w:numPr>
      </w:pPr>
      <w:r>
        <w:t xml:space="preserve">Providing </w:t>
      </w:r>
      <w:r w:rsidR="001A4AE9">
        <w:t>key resources to assist in deepening your content knowledge</w:t>
      </w:r>
      <w:r w:rsidR="00472783">
        <w:t>; and</w:t>
      </w:r>
    </w:p>
    <w:p w14:paraId="665082A3" w14:textId="77777777" w:rsidR="001A4AE9" w:rsidRDefault="00472783" w:rsidP="001A4AE9">
      <w:pPr>
        <w:pStyle w:val="ListParagraph"/>
        <w:numPr>
          <w:ilvl w:val="0"/>
          <w:numId w:val="1"/>
        </w:numPr>
      </w:pPr>
      <w:r>
        <w:t>Defining</w:t>
      </w:r>
      <w:r w:rsidR="001A4AE9">
        <w:t xml:space="preserve"> next steps with a timeline for completion</w:t>
      </w:r>
      <w:r>
        <w:t>.</w:t>
      </w:r>
    </w:p>
    <w:p w14:paraId="39B0887A" w14:textId="77777777" w:rsidR="001A4AE9" w:rsidRDefault="001A4AE9" w:rsidP="001A4AE9"/>
    <w:p w14:paraId="447071F5" w14:textId="77777777" w:rsidR="001A4AE9" w:rsidRPr="00433592" w:rsidRDefault="001A4AE9" w:rsidP="001A4AE9">
      <w:pPr>
        <w:pStyle w:val="NoSpacing"/>
        <w:rPr>
          <w:b/>
          <w:i/>
          <w:color w:val="FF6D14"/>
          <w:sz w:val="24"/>
        </w:rPr>
      </w:pPr>
      <w:r w:rsidRPr="00433592">
        <w:rPr>
          <w:b/>
          <w:i/>
          <w:color w:val="FF6D14"/>
          <w:sz w:val="24"/>
        </w:rPr>
        <w:t>Pre-module Survey</w:t>
      </w:r>
    </w:p>
    <w:p w14:paraId="28D0A257" w14:textId="0904B602" w:rsidR="001A4AE9" w:rsidRDefault="001A4AE9" w:rsidP="001A4AE9">
      <w:r>
        <w:t>To begin this module, please take this brief self-assessment</w:t>
      </w:r>
      <w:r w:rsidR="00472783">
        <w:t xml:space="preserve">, and choose the “Programs of Study” option: </w:t>
      </w:r>
      <w:hyperlink r:id="rId9" w:history="1">
        <w:r w:rsidRPr="002B5A60">
          <w:rPr>
            <w:rStyle w:val="Hyperlink"/>
          </w:rPr>
          <w:t>https://www.surveymonkey.com/r/NewSDpre-test</w:t>
        </w:r>
      </w:hyperlink>
      <w:r>
        <w:t xml:space="preserve"> </w:t>
      </w:r>
    </w:p>
    <w:p w14:paraId="66F0B161" w14:textId="77777777" w:rsidR="001A4AE9" w:rsidRDefault="001A4AE9">
      <w:pPr>
        <w:spacing w:after="160" w:line="259" w:lineRule="auto"/>
        <w:rPr>
          <w:rFonts w:eastAsiaTheme="majorEastAsia" w:cstheme="majorBidi"/>
          <w:b/>
          <w:noProof/>
          <w:color w:val="009AA6"/>
          <w:sz w:val="32"/>
          <w:szCs w:val="32"/>
        </w:rPr>
      </w:pPr>
      <w:bookmarkStart w:id="8" w:name="_Toc498690708"/>
      <w:r>
        <w:rPr>
          <w:b/>
        </w:rPr>
        <w:br w:type="page"/>
      </w:r>
    </w:p>
    <w:p w14:paraId="3AD1C4E8" w14:textId="77777777" w:rsidR="00FD5859" w:rsidRPr="001A4AE9" w:rsidRDefault="001A4AE9" w:rsidP="001A4AE9">
      <w:pPr>
        <w:pStyle w:val="Style1"/>
        <w:numPr>
          <w:ilvl w:val="0"/>
          <w:numId w:val="0"/>
        </w:numPr>
        <w:ind w:left="720" w:hanging="720"/>
        <w:rPr>
          <w:b/>
        </w:rPr>
      </w:pPr>
      <w:bookmarkStart w:id="9" w:name="_Toc504573049"/>
      <w:r w:rsidRPr="001A4AE9">
        <w:rPr>
          <w:b/>
        </w:rPr>
        <w:lastRenderedPageBreak/>
        <w:t>Getting Started</w:t>
      </w:r>
      <w:bookmarkEnd w:id="8"/>
      <w:bookmarkEnd w:id="9"/>
    </w:p>
    <w:p w14:paraId="1C7BDCFD" w14:textId="77777777" w:rsidR="00FD5859" w:rsidRPr="001A4AE9" w:rsidRDefault="00FD5859" w:rsidP="001A4AE9">
      <w:pPr>
        <w:pStyle w:val="Heading2"/>
      </w:pPr>
      <w:bookmarkStart w:id="10" w:name="_Toc504573050"/>
      <w:r w:rsidRPr="001A4AE9">
        <w:t>Programs of Study Refresher</w:t>
      </w:r>
      <w:bookmarkEnd w:id="10"/>
    </w:p>
    <w:p w14:paraId="56D98E2E" w14:textId="77777777" w:rsidR="00AC2016" w:rsidRDefault="00E15B18" w:rsidP="00C22985">
      <w:r>
        <w:t>As a first step, w</w:t>
      </w:r>
      <w:r w:rsidR="00AC2016">
        <w:t xml:space="preserve">e encourage you to review the following resources to acquaint yourself with the major components of a program of study, and ways in which states have built policies and processes </w:t>
      </w:r>
      <w:r>
        <w:t xml:space="preserve">to strengthen and expand their CTE program offerings. </w:t>
      </w:r>
      <w:r w:rsidR="00AC2016">
        <w:t xml:space="preserve"> </w:t>
      </w:r>
    </w:p>
    <w:p w14:paraId="7330645B" w14:textId="77777777" w:rsidR="00AC2016" w:rsidRDefault="00AC2016" w:rsidP="00C22985"/>
    <w:p w14:paraId="2286FB9C" w14:textId="77777777" w:rsidR="00AC2016" w:rsidRPr="00C22985" w:rsidRDefault="00934C08" w:rsidP="009037B2">
      <w:pPr>
        <w:pStyle w:val="ListParagraph"/>
        <w:numPr>
          <w:ilvl w:val="0"/>
          <w:numId w:val="5"/>
        </w:numPr>
        <w:spacing w:after="120"/>
        <w:contextualSpacing w:val="0"/>
      </w:pPr>
      <w:hyperlink r:id="rId10" w:history="1">
        <w:r w:rsidR="00AC2016" w:rsidRPr="00C22985">
          <w:rPr>
            <w:rStyle w:val="Hyperlink"/>
            <w:rFonts w:eastAsia="Cambria" w:cs="Cambria"/>
            <w:szCs w:val="24"/>
          </w:rPr>
          <w:t>CTE and Programs of Study</w:t>
        </w:r>
      </w:hyperlink>
      <w:r w:rsidR="00AC2016" w:rsidRPr="00C22985">
        <w:rPr>
          <w:rStyle w:val="Hyperlink"/>
          <w:rFonts w:eastAsia="Cambria" w:cs="Cambria"/>
          <w:color w:val="auto"/>
          <w:szCs w:val="24"/>
          <w:u w:val="none"/>
        </w:rPr>
        <w:t xml:space="preserve"> fact sheet </w:t>
      </w:r>
    </w:p>
    <w:p w14:paraId="6B9C5CC2" w14:textId="77777777" w:rsidR="00AA75A1" w:rsidRPr="00AA75A1" w:rsidRDefault="00934C08" w:rsidP="009037B2">
      <w:pPr>
        <w:pStyle w:val="ListParagraph"/>
        <w:widowControl w:val="0"/>
        <w:numPr>
          <w:ilvl w:val="0"/>
          <w:numId w:val="5"/>
        </w:numPr>
        <w:spacing w:after="120"/>
        <w:contextualSpacing w:val="0"/>
        <w:rPr>
          <w:rFonts w:eastAsia="Cambria" w:cs="Cambria"/>
          <w:i/>
          <w:color w:val="000000"/>
          <w:szCs w:val="24"/>
        </w:rPr>
      </w:pPr>
      <w:hyperlink r:id="rId11" w:history="1">
        <w:r w:rsidR="00AA75A1" w:rsidRPr="00C22985">
          <w:rPr>
            <w:rStyle w:val="Hyperlink"/>
          </w:rPr>
          <w:t>Core Elements of a CTE Program Approval Policy</w:t>
        </w:r>
      </w:hyperlink>
      <w:r w:rsidR="00AA75A1" w:rsidRPr="00C22985">
        <w:t xml:space="preserve"> </w:t>
      </w:r>
    </w:p>
    <w:p w14:paraId="739D3D00" w14:textId="2CA6A544" w:rsidR="001A4AE9" w:rsidRPr="00AA75A1" w:rsidRDefault="00702CCB" w:rsidP="00AA75A1">
      <w:pPr>
        <w:pStyle w:val="ListParagraph"/>
        <w:widowControl w:val="0"/>
        <w:numPr>
          <w:ilvl w:val="0"/>
          <w:numId w:val="5"/>
        </w:numPr>
        <w:spacing w:after="120"/>
        <w:contextualSpacing w:val="0"/>
        <w:rPr>
          <w:rFonts w:eastAsia="Cambria" w:cs="Cambria"/>
          <w:i/>
          <w:color w:val="000000"/>
          <w:szCs w:val="24"/>
        </w:rPr>
      </w:pPr>
      <w:r>
        <w:rPr>
          <w:noProof/>
        </w:rPr>
        <mc:AlternateContent>
          <mc:Choice Requires="wps">
            <w:drawing>
              <wp:anchor distT="45720" distB="45720" distL="114300" distR="114300" simplePos="0" relativeHeight="251659264" behindDoc="0" locked="0" layoutInCell="1" allowOverlap="1" wp14:anchorId="52BF4672" wp14:editId="58F8A40D">
                <wp:simplePos x="0" y="0"/>
                <wp:positionH relativeFrom="column">
                  <wp:posOffset>8255</wp:posOffset>
                </wp:positionH>
                <wp:positionV relativeFrom="paragraph">
                  <wp:posOffset>395605</wp:posOffset>
                </wp:positionV>
                <wp:extent cx="5753100" cy="29927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92755"/>
                        </a:xfrm>
                        <a:prstGeom prst="rect">
                          <a:avLst/>
                        </a:prstGeom>
                        <a:solidFill>
                          <a:schemeClr val="accent2"/>
                        </a:solidFill>
                        <a:ln w="9525">
                          <a:noFill/>
                          <a:miter lim="800000"/>
                          <a:headEnd/>
                          <a:tailEnd/>
                        </a:ln>
                      </wps:spPr>
                      <wps:txbx>
                        <w:txbxContent>
                          <w:p w14:paraId="36C9DE3E" w14:textId="77777777" w:rsidR="0050650A" w:rsidRPr="001A4AE9" w:rsidRDefault="0050650A" w:rsidP="00810716">
                            <w:pPr>
                              <w:rPr>
                                <w:color w:val="FFFFFF" w:themeColor="background1"/>
                              </w:rPr>
                            </w:pPr>
                            <w:r w:rsidRPr="001A4AE9">
                              <w:rPr>
                                <w:color w:val="FFFFFF" w:themeColor="background1"/>
                              </w:rPr>
                              <w:t xml:space="preserve">To help answer the questions below, you may want to have the following information on hand: </w:t>
                            </w:r>
                          </w:p>
                          <w:p w14:paraId="795FB635" w14:textId="77777777" w:rsidR="0050650A" w:rsidRPr="001A4AE9" w:rsidRDefault="0050650A" w:rsidP="00810716">
                            <w:pPr>
                              <w:rPr>
                                <w:color w:val="FFFFFF" w:themeColor="background1"/>
                              </w:rPr>
                            </w:pPr>
                          </w:p>
                          <w:p w14:paraId="67DDFD3F" w14:textId="14C70E2C" w:rsidR="0050650A" w:rsidRPr="001A4AE9" w:rsidRDefault="0050650A" w:rsidP="00944431">
                            <w:pPr>
                              <w:pStyle w:val="ListParagraph"/>
                              <w:numPr>
                                <w:ilvl w:val="0"/>
                                <w:numId w:val="2"/>
                              </w:numPr>
                              <w:rPr>
                                <w:color w:val="FFFFFF" w:themeColor="background1"/>
                              </w:rPr>
                            </w:pPr>
                            <w:r w:rsidRPr="001A4AE9">
                              <w:rPr>
                                <w:color w:val="FFFFFF" w:themeColor="background1"/>
                              </w:rPr>
                              <w:t xml:space="preserve">Any </w:t>
                            </w:r>
                            <w:r>
                              <w:rPr>
                                <w:color w:val="FFFFFF" w:themeColor="background1"/>
                              </w:rPr>
                              <w:t xml:space="preserve">state </w:t>
                            </w:r>
                            <w:r w:rsidRPr="001A4AE9">
                              <w:rPr>
                                <w:color w:val="FFFFFF" w:themeColor="background1"/>
                              </w:rPr>
                              <w:t>policies related to program and/or program of study approval, review and funding at the secondary and postsecondary levels</w:t>
                            </w:r>
                          </w:p>
                          <w:p w14:paraId="4A494C9A" w14:textId="33775E3D" w:rsidR="0050650A" w:rsidRPr="001A4AE9" w:rsidRDefault="0050650A" w:rsidP="00944431">
                            <w:pPr>
                              <w:pStyle w:val="ListParagraph"/>
                              <w:numPr>
                                <w:ilvl w:val="0"/>
                                <w:numId w:val="2"/>
                              </w:numPr>
                              <w:rPr>
                                <w:color w:val="FFFFFF" w:themeColor="background1"/>
                              </w:rPr>
                            </w:pPr>
                            <w:r w:rsidRPr="001A4AE9">
                              <w:rPr>
                                <w:color w:val="FFFFFF" w:themeColor="background1"/>
                              </w:rPr>
                              <w:t>Your state plan</w:t>
                            </w:r>
                            <w:r>
                              <w:rPr>
                                <w:color w:val="FFFFFF" w:themeColor="background1"/>
                              </w:rPr>
                              <w:t xml:space="preserve"> for the Carl D. Perkins Career and Technical Education Act of 2006 (Perkins)</w:t>
                            </w:r>
                          </w:p>
                          <w:p w14:paraId="790C8D4E" w14:textId="77777777" w:rsidR="0050650A" w:rsidRPr="001A4AE9" w:rsidRDefault="0050650A" w:rsidP="00944431">
                            <w:pPr>
                              <w:pStyle w:val="ListParagraph"/>
                              <w:numPr>
                                <w:ilvl w:val="0"/>
                                <w:numId w:val="2"/>
                              </w:numPr>
                              <w:rPr>
                                <w:color w:val="FFFFFF" w:themeColor="background1"/>
                              </w:rPr>
                            </w:pPr>
                            <w:r w:rsidRPr="001A4AE9">
                              <w:rPr>
                                <w:color w:val="FFFFFF" w:themeColor="background1"/>
                              </w:rPr>
                              <w:t>Your local plan requirements regarding programs and programs of study</w:t>
                            </w:r>
                          </w:p>
                          <w:p w14:paraId="7195CF9C" w14:textId="77777777" w:rsidR="0050650A" w:rsidRPr="001A4AE9" w:rsidRDefault="0050650A" w:rsidP="00944431">
                            <w:pPr>
                              <w:pStyle w:val="ListParagraph"/>
                              <w:numPr>
                                <w:ilvl w:val="0"/>
                                <w:numId w:val="2"/>
                              </w:numPr>
                              <w:rPr>
                                <w:color w:val="FFFFFF" w:themeColor="background1"/>
                              </w:rPr>
                            </w:pPr>
                            <w:r w:rsidRPr="001A4AE9">
                              <w:rPr>
                                <w:color w:val="FFFFFF" w:themeColor="background1"/>
                              </w:rPr>
                              <w:t>Your state’s list of CTE program offerings (secondary and postsecondary)</w:t>
                            </w:r>
                          </w:p>
                          <w:p w14:paraId="1B4A91A1" w14:textId="77777777" w:rsidR="0050650A" w:rsidRPr="001A4AE9" w:rsidRDefault="0050650A" w:rsidP="00E15B18">
                            <w:pPr>
                              <w:rPr>
                                <w:color w:val="FFFFFF" w:themeColor="background1"/>
                              </w:rPr>
                            </w:pPr>
                          </w:p>
                          <w:p w14:paraId="16C18E01" w14:textId="77777777" w:rsidR="0050650A" w:rsidRPr="00E12B9B" w:rsidRDefault="0050650A" w:rsidP="00E12B9B">
                            <w:pPr>
                              <w:rPr>
                                <w:color w:val="FFFFFF" w:themeColor="background1"/>
                              </w:rPr>
                            </w:pPr>
                            <w:r w:rsidRPr="00E12B9B">
                              <w:rPr>
                                <w:color w:val="FFFFFF" w:themeColor="background1"/>
                              </w:rPr>
                              <w:t xml:space="preserve">Also consider who you need to talk to in order to gather information, both inside and outside of your office. </w:t>
                            </w:r>
                          </w:p>
                          <w:p w14:paraId="1A717EE7" w14:textId="77777777" w:rsidR="0050650A" w:rsidRPr="001A4AE9" w:rsidRDefault="0050650A" w:rsidP="006E6DAA">
                            <w:pPr>
                              <w:rPr>
                                <w:color w:val="FFFFFF" w:themeColor="background1"/>
                              </w:rPr>
                            </w:pPr>
                          </w:p>
                          <w:p w14:paraId="0F1E22C9" w14:textId="77777777" w:rsidR="0050650A" w:rsidRPr="001A4AE9" w:rsidRDefault="0050650A" w:rsidP="006E6DAA">
                            <w:pPr>
                              <w:rPr>
                                <w:b/>
                                <w:color w:val="FFFFFF" w:themeColor="background1"/>
                              </w:rPr>
                            </w:pPr>
                            <w:r w:rsidRPr="001A4AE9">
                              <w:rPr>
                                <w:b/>
                                <w:color w:val="FFFFFF" w:themeColor="background1"/>
                              </w:rPr>
                              <w:t>KEY DEFINTION</w:t>
                            </w:r>
                          </w:p>
                          <w:p w14:paraId="12293BB5" w14:textId="77777777" w:rsidR="0050650A" w:rsidRPr="007A798E" w:rsidRDefault="0050650A">
                            <w:pPr>
                              <w:rPr>
                                <w:color w:val="FFFFFF" w:themeColor="background1"/>
                              </w:rPr>
                            </w:pPr>
                            <w:r w:rsidRPr="007A798E">
                              <w:rPr>
                                <w:color w:val="FFFFFF" w:themeColor="background1"/>
                              </w:rPr>
                              <w:t>Programs of study are non-duplicative sequence of academic and technical courses that extend across secondary and postsecondary and culminate in a degree or credential of value. States are required to support at least two programs of study and all local Perkins recipients are required to support at least one program of study. This was a new requirement under the 2006 reauthorization.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F4672" id="_x0000_s1027" type="#_x0000_t202" style="position:absolute;left:0;text-align:left;margin-left:.65pt;margin-top:31.15pt;width:453pt;height:23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" fillcolor="#ed7d31 [3205]" stroked="f">
                <v:textbox>
                  <w:txbxContent>
                    <w:p w14:paraId="36C9DE3E" w14:textId="77777777" w:rsidR="0050650A" w:rsidRPr="001A4AE9" w:rsidRDefault="0050650A" w:rsidP="00810716">
                      <w:pPr>
                        <w:rPr>
                          <w:color w:val="FFFFFF" w:themeColor="background1"/>
                        </w:rPr>
                      </w:pPr>
                      <w:r w:rsidRPr="001A4AE9">
                        <w:rPr>
                          <w:color w:val="FFFFFF" w:themeColor="background1"/>
                        </w:rPr>
                        <w:t xml:space="preserve">To help answer the questions below, you may want to have the following information on hand: </w:t>
                      </w:r>
                    </w:p>
                    <w:p w14:paraId="795FB635" w14:textId="77777777" w:rsidR="0050650A" w:rsidRPr="001A4AE9" w:rsidRDefault="0050650A" w:rsidP="00810716">
                      <w:pPr>
                        <w:rPr>
                          <w:color w:val="FFFFFF" w:themeColor="background1"/>
                        </w:rPr>
                      </w:pPr>
                    </w:p>
                    <w:p w14:paraId="67DDFD3F" w14:textId="14C70E2C" w:rsidR="0050650A" w:rsidRPr="001A4AE9" w:rsidRDefault="0050650A" w:rsidP="00944431">
                      <w:pPr>
                        <w:pStyle w:val="ListParagraph"/>
                        <w:numPr>
                          <w:ilvl w:val="0"/>
                          <w:numId w:val="2"/>
                        </w:numPr>
                        <w:rPr>
                          <w:color w:val="FFFFFF" w:themeColor="background1"/>
                        </w:rPr>
                      </w:pPr>
                      <w:r w:rsidRPr="001A4AE9">
                        <w:rPr>
                          <w:color w:val="FFFFFF" w:themeColor="background1"/>
                        </w:rPr>
                        <w:t xml:space="preserve">Any </w:t>
                      </w:r>
                      <w:r>
                        <w:rPr>
                          <w:color w:val="FFFFFF" w:themeColor="background1"/>
                        </w:rPr>
                        <w:t xml:space="preserve">state </w:t>
                      </w:r>
                      <w:r w:rsidRPr="001A4AE9">
                        <w:rPr>
                          <w:color w:val="FFFFFF" w:themeColor="background1"/>
                        </w:rPr>
                        <w:t>policies related to program and/or program of study approval, review and funding at the secondary and postsecondary levels</w:t>
                      </w:r>
                    </w:p>
                    <w:p w14:paraId="4A494C9A" w14:textId="33775E3D" w:rsidR="0050650A" w:rsidRPr="001A4AE9" w:rsidRDefault="0050650A" w:rsidP="00944431">
                      <w:pPr>
                        <w:pStyle w:val="ListParagraph"/>
                        <w:numPr>
                          <w:ilvl w:val="0"/>
                          <w:numId w:val="2"/>
                        </w:numPr>
                        <w:rPr>
                          <w:color w:val="FFFFFF" w:themeColor="background1"/>
                        </w:rPr>
                      </w:pPr>
                      <w:r w:rsidRPr="001A4AE9">
                        <w:rPr>
                          <w:color w:val="FFFFFF" w:themeColor="background1"/>
                        </w:rPr>
                        <w:t>Your state plan</w:t>
                      </w:r>
                      <w:r>
                        <w:rPr>
                          <w:color w:val="FFFFFF" w:themeColor="background1"/>
                        </w:rPr>
                        <w:t xml:space="preserve"> for the Carl D. Perkins Career and Technical Education Act of 2006 (Perkins)</w:t>
                      </w:r>
                    </w:p>
                    <w:p w14:paraId="790C8D4E" w14:textId="77777777" w:rsidR="0050650A" w:rsidRPr="001A4AE9" w:rsidRDefault="0050650A" w:rsidP="00944431">
                      <w:pPr>
                        <w:pStyle w:val="ListParagraph"/>
                        <w:numPr>
                          <w:ilvl w:val="0"/>
                          <w:numId w:val="2"/>
                        </w:numPr>
                        <w:rPr>
                          <w:color w:val="FFFFFF" w:themeColor="background1"/>
                        </w:rPr>
                      </w:pPr>
                      <w:r w:rsidRPr="001A4AE9">
                        <w:rPr>
                          <w:color w:val="FFFFFF" w:themeColor="background1"/>
                        </w:rPr>
                        <w:t>Your local plan requirements regarding programs and programs of study</w:t>
                      </w:r>
                    </w:p>
                    <w:p w14:paraId="7195CF9C" w14:textId="77777777" w:rsidR="0050650A" w:rsidRPr="001A4AE9" w:rsidRDefault="0050650A" w:rsidP="00944431">
                      <w:pPr>
                        <w:pStyle w:val="ListParagraph"/>
                        <w:numPr>
                          <w:ilvl w:val="0"/>
                          <w:numId w:val="2"/>
                        </w:numPr>
                        <w:rPr>
                          <w:color w:val="FFFFFF" w:themeColor="background1"/>
                        </w:rPr>
                      </w:pPr>
                      <w:r w:rsidRPr="001A4AE9">
                        <w:rPr>
                          <w:color w:val="FFFFFF" w:themeColor="background1"/>
                        </w:rPr>
                        <w:t>Your state’s list of CTE program offerings (secondary and postsecondary)</w:t>
                      </w:r>
                    </w:p>
                    <w:p w14:paraId="1B4A91A1" w14:textId="77777777" w:rsidR="0050650A" w:rsidRPr="001A4AE9" w:rsidRDefault="0050650A" w:rsidP="00E15B18">
                      <w:pPr>
                        <w:rPr>
                          <w:color w:val="FFFFFF" w:themeColor="background1"/>
                        </w:rPr>
                      </w:pPr>
                    </w:p>
                    <w:p w14:paraId="16C18E01" w14:textId="77777777" w:rsidR="0050650A" w:rsidRPr="00E12B9B" w:rsidRDefault="0050650A" w:rsidP="00E12B9B">
                      <w:pPr>
                        <w:rPr>
                          <w:color w:val="FFFFFF" w:themeColor="background1"/>
                        </w:rPr>
                      </w:pPr>
                      <w:r w:rsidRPr="00E12B9B">
                        <w:rPr>
                          <w:color w:val="FFFFFF" w:themeColor="background1"/>
                        </w:rPr>
                        <w:t xml:space="preserve">Also consider who you need to talk to in order to gather information, both inside and outside of your office. </w:t>
                      </w:r>
                    </w:p>
                    <w:p w14:paraId="1A717EE7" w14:textId="77777777" w:rsidR="0050650A" w:rsidRPr="001A4AE9" w:rsidRDefault="0050650A" w:rsidP="006E6DAA">
                      <w:pPr>
                        <w:rPr>
                          <w:color w:val="FFFFFF" w:themeColor="background1"/>
                        </w:rPr>
                      </w:pPr>
                    </w:p>
                    <w:p w14:paraId="0F1E22C9" w14:textId="77777777" w:rsidR="0050650A" w:rsidRPr="001A4AE9" w:rsidRDefault="0050650A" w:rsidP="006E6DAA">
                      <w:pPr>
                        <w:rPr>
                          <w:b/>
                          <w:color w:val="FFFFFF" w:themeColor="background1"/>
                        </w:rPr>
                      </w:pPr>
                      <w:r w:rsidRPr="001A4AE9">
                        <w:rPr>
                          <w:b/>
                          <w:color w:val="FFFFFF" w:themeColor="background1"/>
                        </w:rPr>
                        <w:t>KEY DEFINTION</w:t>
                      </w:r>
                    </w:p>
                    <w:p w14:paraId="12293BB5" w14:textId="77777777" w:rsidR="0050650A" w:rsidRPr="007A798E" w:rsidRDefault="0050650A">
                      <w:pPr>
                        <w:rPr>
                          <w:color w:val="FFFFFF" w:themeColor="background1"/>
                        </w:rPr>
                      </w:pPr>
                      <w:r w:rsidRPr="007A798E">
                        <w:rPr>
                          <w:color w:val="FFFFFF" w:themeColor="background1"/>
                        </w:rPr>
                        <w:t>Programs of study are non-duplicative sequence of academic and technical courses that extend across secondary and postsecondary and culminate in a degree or credential of value. States are required to support at least two programs of study and all local Perkins recipients are required to support at least one program of study. This was a new requirement under the 2006 reauthorization.</w:t>
                      </w:r>
                    </w:p>
                  </w:txbxContent>
                </v:textbox>
                <w10:wrap type="square"/>
              </v:shape>
            </w:pict>
          </mc:Fallback>
        </mc:AlternateContent>
      </w:r>
      <w:hyperlink r:id="rId12" w:history="1">
        <w:r w:rsidR="00AC2016" w:rsidRPr="00C22985">
          <w:rPr>
            <w:rStyle w:val="Hyperlink"/>
            <w:rFonts w:eastAsia="Cambria" w:cs="Cambria"/>
            <w:szCs w:val="24"/>
          </w:rPr>
          <w:t>Raising the Bar: State Strategies for Developing and Approving High-quality Career Pathways</w:t>
        </w:r>
      </w:hyperlink>
      <w:r w:rsidR="00AC2016" w:rsidRPr="00AA75A1">
        <w:rPr>
          <w:i/>
        </w:rPr>
        <w:t xml:space="preserve"> </w:t>
      </w:r>
    </w:p>
    <w:p w14:paraId="38E6C6EF" w14:textId="77777777" w:rsidR="00702CCB" w:rsidRDefault="00702CCB" w:rsidP="00702CCB"/>
    <w:p w14:paraId="723A11F9" w14:textId="470228DF" w:rsidR="00353A7D" w:rsidRPr="00A24EB2" w:rsidRDefault="00353A7D" w:rsidP="00C22985">
      <w:pPr>
        <w:pStyle w:val="Heading2"/>
      </w:pPr>
      <w:bookmarkStart w:id="11" w:name="_Toc504573051"/>
      <w:r w:rsidRPr="00A24EB2">
        <w:t>Inventory</w:t>
      </w:r>
      <w:bookmarkEnd w:id="11"/>
    </w:p>
    <w:p w14:paraId="38D069BB" w14:textId="0ACC4476" w:rsidR="00B41607" w:rsidRPr="00353A7D" w:rsidRDefault="00645B9D" w:rsidP="00C22985">
      <w:r>
        <w:t>It will be helpful</w:t>
      </w:r>
      <w:r w:rsidR="00353A7D" w:rsidRPr="00A24EB2">
        <w:t xml:space="preserve"> to gather key information on your state’s </w:t>
      </w:r>
      <w:r w:rsidR="006039E8">
        <w:t>current requirements around programs of study (and other</w:t>
      </w:r>
      <w:r w:rsidR="008F6330">
        <w:t xml:space="preserve"> </w:t>
      </w:r>
      <w:r w:rsidR="007A798E">
        <w:t>CTE or career-focused programs</w:t>
      </w:r>
      <w:r w:rsidR="006039E8">
        <w:t xml:space="preserve"> the state </w:t>
      </w:r>
      <w:r w:rsidR="003E4F12">
        <w:t xml:space="preserve">authorizes </w:t>
      </w:r>
      <w:r w:rsidR="006039E8">
        <w:t xml:space="preserve">through Perkins or otherwise). </w:t>
      </w:r>
      <w:r w:rsidR="00B41607" w:rsidRPr="00A24EB2">
        <w:t xml:space="preserve">Knowing and understanding the </w:t>
      </w:r>
      <w:r w:rsidR="006039E8">
        <w:t>current state of play can be</w:t>
      </w:r>
      <w:r w:rsidR="00B41607" w:rsidRPr="00A24EB2">
        <w:t xml:space="preserve"> critical to making a thoughtful evaluation of whether those </w:t>
      </w:r>
      <w:r w:rsidR="006039E8">
        <w:t>policies and programs are leading to qu</w:t>
      </w:r>
      <w:r w:rsidR="00E15B18">
        <w:t xml:space="preserve">ality experiences for learners and a reliable pipeline for your industry partners. </w:t>
      </w:r>
    </w:p>
    <w:p w14:paraId="2E74F08B" w14:textId="77777777" w:rsidR="00B41607" w:rsidRDefault="00B41607" w:rsidP="00C22985">
      <w:pPr>
        <w:rPr>
          <w:b/>
        </w:rPr>
      </w:pPr>
    </w:p>
    <w:p w14:paraId="573CD485" w14:textId="77777777" w:rsidR="00B41607" w:rsidRDefault="00B07B3A" w:rsidP="004B589F">
      <w:pPr>
        <w:pStyle w:val="Heading4"/>
        <w:shd w:val="clear" w:color="auto" w:fill="F2F2F2" w:themeFill="background1" w:themeFillShade="F2"/>
      </w:pPr>
      <w:r w:rsidRPr="00A24EB2">
        <w:t>State Vision for CTE</w:t>
      </w:r>
    </w:p>
    <w:p w14:paraId="53B1CBDB" w14:textId="77777777" w:rsidR="00F44476" w:rsidRDefault="00606BD0" w:rsidP="004B589F">
      <w:pPr>
        <w:shd w:val="clear" w:color="auto" w:fill="F2F2F2" w:themeFill="background1" w:themeFillShade="F2"/>
      </w:pPr>
      <w:r w:rsidRPr="00606BD0">
        <w:t xml:space="preserve">The first principle in </w:t>
      </w:r>
      <w:hyperlink r:id="rId13" w:history="1">
        <w:r w:rsidR="006C48ED" w:rsidRPr="00F44476">
          <w:rPr>
            <w:rStyle w:val="Hyperlink"/>
          </w:rPr>
          <w:t>Putting Learner Success First: A Shared Vision for the Future of CTE</w:t>
        </w:r>
      </w:hyperlink>
      <w:r w:rsidRPr="00606BD0">
        <w:t xml:space="preserve">, is that “All CTE programs must meet the highest standards of excellence.” </w:t>
      </w:r>
    </w:p>
    <w:p w14:paraId="66E66CB8" w14:textId="77777777" w:rsidR="00F44476" w:rsidRDefault="00F44476" w:rsidP="004B589F">
      <w:pPr>
        <w:shd w:val="clear" w:color="auto" w:fill="F2F2F2" w:themeFill="background1" w:themeFillShade="F2"/>
      </w:pPr>
    </w:p>
    <w:p w14:paraId="30E5B8B8" w14:textId="55BA6AFA" w:rsidR="00E3287E" w:rsidRDefault="00606BD0" w:rsidP="004B589F">
      <w:pPr>
        <w:shd w:val="clear" w:color="auto" w:fill="F2F2F2" w:themeFill="background1" w:themeFillShade="F2"/>
      </w:pPr>
      <w:r w:rsidRPr="00606BD0">
        <w:t>Specifically, this principle calls on states, districts</w:t>
      </w:r>
      <w:r w:rsidR="003664C0">
        <w:t>, schools</w:t>
      </w:r>
      <w:r w:rsidRPr="00606BD0">
        <w:t xml:space="preserve"> and institutions to support and offer </w:t>
      </w:r>
      <w:r w:rsidR="003E4F12">
        <w:t xml:space="preserve">only </w:t>
      </w:r>
      <w:r w:rsidRPr="00606BD0">
        <w:t xml:space="preserve">high-quality CTE programs of study that provide strong pathways for learners and reflect industry relevance. To do this, states must use all of their tools and levers to define high-quality programs of study and then ensure only those deemed quality are funded and sustained over time. </w:t>
      </w:r>
    </w:p>
    <w:p w14:paraId="0CBB99EB" w14:textId="77777777" w:rsidR="00702CCB" w:rsidRPr="00F44476" w:rsidRDefault="00702CCB" w:rsidP="004B589F">
      <w:pPr>
        <w:shd w:val="clear" w:color="auto" w:fill="F2F2F2" w:themeFill="background1" w:themeFillShade="F2"/>
      </w:pPr>
    </w:p>
    <w:p w14:paraId="77EC3791" w14:textId="77777777" w:rsidR="00E3287E" w:rsidRDefault="00E3287E" w:rsidP="00C22985">
      <w:pPr>
        <w:rPr>
          <w:i/>
        </w:rPr>
      </w:pPr>
    </w:p>
    <w:p w14:paraId="3C1CB5E1" w14:textId="3ED1FE04" w:rsidR="00B07B3A" w:rsidRPr="007A798E" w:rsidRDefault="00606BD0" w:rsidP="00C22985">
      <w:r w:rsidRPr="007A798E">
        <w:lastRenderedPageBreak/>
        <w:t>To that end, building on Module 1, reflect on your state’s vision for CTE and consider</w:t>
      </w:r>
      <w:r w:rsidR="003664C0">
        <w:t>:</w:t>
      </w:r>
      <w:r w:rsidRPr="007A798E">
        <w:t xml:space="preserve"> </w:t>
      </w:r>
      <w:r w:rsidR="003664C0">
        <w:t>H</w:t>
      </w:r>
      <w:r w:rsidRPr="007A798E">
        <w:t xml:space="preserve">ow </w:t>
      </w:r>
      <w:r w:rsidR="003664C0">
        <w:t xml:space="preserve">do </w:t>
      </w:r>
      <w:r w:rsidRPr="007A798E">
        <w:t xml:space="preserve">programs of study </w:t>
      </w:r>
      <w:r w:rsidR="003664C0">
        <w:t xml:space="preserve">currently </w:t>
      </w:r>
      <w:r w:rsidRPr="007A798E">
        <w:t xml:space="preserve">advance this vision with respect to: </w:t>
      </w:r>
    </w:p>
    <w:p w14:paraId="347A4A7C" w14:textId="77777777" w:rsidR="009B3342" w:rsidRPr="00A24EB2" w:rsidRDefault="009B3342" w:rsidP="00C22985">
      <w:pPr>
        <w:rPr>
          <w:i/>
        </w:rPr>
      </w:pPr>
    </w:p>
    <w:p w14:paraId="52885767" w14:textId="26128F04" w:rsidR="00C22985" w:rsidRDefault="009B3342" w:rsidP="004B589F">
      <w:pPr>
        <w:pStyle w:val="ListParagraph"/>
        <w:numPr>
          <w:ilvl w:val="0"/>
          <w:numId w:val="3"/>
        </w:numPr>
        <w:spacing w:after="720"/>
        <w:contextualSpacing w:val="0"/>
      </w:pPr>
      <w:r>
        <w:t>Offering rigorous and relevant pathway</w:t>
      </w:r>
      <w:r w:rsidR="00AA75A1">
        <w:t>s to college and careers</w:t>
      </w:r>
      <w:r>
        <w:t xml:space="preserve"> for learners? </w:t>
      </w:r>
    </w:p>
    <w:p w14:paraId="538DFAE2" w14:textId="77777777" w:rsidR="00C22985" w:rsidRDefault="00C22985" w:rsidP="004B589F">
      <w:pPr>
        <w:pStyle w:val="ListParagraph"/>
        <w:numPr>
          <w:ilvl w:val="0"/>
          <w:numId w:val="3"/>
        </w:numPr>
        <w:spacing w:after="720"/>
        <w:contextualSpacing w:val="0"/>
      </w:pPr>
      <w:r>
        <w:t xml:space="preserve">Alignment between secondary and postsecondary systems? </w:t>
      </w:r>
    </w:p>
    <w:p w14:paraId="08DEA298" w14:textId="77777777" w:rsidR="00C22985" w:rsidRDefault="00DA4664" w:rsidP="004B589F">
      <w:pPr>
        <w:pStyle w:val="ListParagraph"/>
        <w:numPr>
          <w:ilvl w:val="0"/>
          <w:numId w:val="3"/>
        </w:numPr>
        <w:spacing w:after="720"/>
        <w:contextualSpacing w:val="0"/>
      </w:pPr>
      <w:r>
        <w:t>Align</w:t>
      </w:r>
      <w:r w:rsidR="00C22985">
        <w:t xml:space="preserve">ment between program offerings and labor market demand? </w:t>
      </w:r>
    </w:p>
    <w:p w14:paraId="70B2DE1F" w14:textId="77777777" w:rsidR="00C22985" w:rsidRDefault="00C22985" w:rsidP="004B589F">
      <w:pPr>
        <w:pStyle w:val="Heading4"/>
        <w:shd w:val="clear" w:color="auto" w:fill="F2F2F2" w:themeFill="background1" w:themeFillShade="F2"/>
      </w:pPr>
      <w:r w:rsidRPr="00A24EB2">
        <w:t xml:space="preserve">State </w:t>
      </w:r>
      <w:r>
        <w:t>Definitions and Requirements</w:t>
      </w:r>
    </w:p>
    <w:p w14:paraId="19004805" w14:textId="024A605F" w:rsidR="00C22985" w:rsidRDefault="00C22985" w:rsidP="004B589F">
      <w:pPr>
        <w:shd w:val="clear" w:color="auto" w:fill="F2F2F2" w:themeFill="background1" w:themeFillShade="F2"/>
      </w:pPr>
      <w:r>
        <w:rPr>
          <w:rFonts w:cs="Times New Roman"/>
          <w:color w:val="222222"/>
          <w:szCs w:val="26"/>
        </w:rPr>
        <w:t xml:space="preserve">Programs of study can be a powerful tool for driving learner success and industry satisfaction – both in the design and ongoing implementation. This module will help you </w:t>
      </w:r>
      <w:r w:rsidRPr="00D12F00">
        <w:rPr>
          <w:rFonts w:cs="Times New Roman"/>
          <w:color w:val="222222"/>
          <w:szCs w:val="26"/>
        </w:rPr>
        <w:t xml:space="preserve">explore the decisions made by </w:t>
      </w:r>
      <w:r>
        <w:rPr>
          <w:rFonts w:cs="Times New Roman"/>
          <w:color w:val="222222"/>
          <w:szCs w:val="26"/>
        </w:rPr>
        <w:t>your predecessors</w:t>
      </w:r>
      <w:r w:rsidRPr="00D12F00">
        <w:rPr>
          <w:rFonts w:cs="Times New Roman"/>
          <w:color w:val="222222"/>
          <w:szCs w:val="26"/>
        </w:rPr>
        <w:t xml:space="preserve">, learn why those decisions were made, consider and re-evaluate those decisions and conclude whether </w:t>
      </w:r>
      <w:r w:rsidR="007A367B">
        <w:rPr>
          <w:rFonts w:cs="Times New Roman"/>
          <w:color w:val="222222"/>
          <w:szCs w:val="26"/>
        </w:rPr>
        <w:t xml:space="preserve">or </w:t>
      </w:r>
      <w:r w:rsidRPr="00D12F00">
        <w:rPr>
          <w:rFonts w:cs="Times New Roman"/>
          <w:color w:val="222222"/>
          <w:szCs w:val="26"/>
        </w:rPr>
        <w:t>not (or sometime in the near future) you should choose a </w:t>
      </w:r>
      <w:r w:rsidRPr="00D12F00">
        <w:rPr>
          <w:rFonts w:cs="Times New Roman"/>
          <w:color w:val="222222"/>
        </w:rPr>
        <w:t>new</w:t>
      </w:r>
      <w:r w:rsidRPr="00D12F00">
        <w:rPr>
          <w:rFonts w:cs="Times New Roman"/>
          <w:color w:val="222222"/>
          <w:szCs w:val="26"/>
        </w:rPr>
        <w:t> answer to a question.</w:t>
      </w:r>
      <w:r>
        <w:rPr>
          <w:rFonts w:cs="Times New Roman"/>
          <w:color w:val="222222"/>
          <w:szCs w:val="26"/>
        </w:rPr>
        <w:t xml:space="preserve"> </w:t>
      </w:r>
      <w:r>
        <w:t>The next series of questions will help you gather information</w:t>
      </w:r>
      <w:r w:rsidR="00DA4664">
        <w:t xml:space="preserve"> regarding the </w:t>
      </w:r>
      <w:r w:rsidR="0083068D">
        <w:t>“</w:t>
      </w:r>
      <w:r>
        <w:t>what, how and why</w:t>
      </w:r>
      <w:r w:rsidR="0083068D">
        <w:t>”</w:t>
      </w:r>
      <w:r>
        <w:t xml:space="preserve"> of </w:t>
      </w:r>
      <w:r w:rsidR="00DA4664">
        <w:t xml:space="preserve">your program of study definitions and requirements. </w:t>
      </w:r>
      <w:r>
        <w:t xml:space="preserve"> </w:t>
      </w:r>
    </w:p>
    <w:p w14:paraId="7A5FD77A" w14:textId="77777777" w:rsidR="00702CCB" w:rsidRDefault="00702CCB" w:rsidP="004B589F">
      <w:pPr>
        <w:shd w:val="clear" w:color="auto" w:fill="F2F2F2" w:themeFill="background1" w:themeFillShade="F2"/>
      </w:pPr>
    </w:p>
    <w:p w14:paraId="3AD7ABED" w14:textId="77777777" w:rsidR="00DA4664" w:rsidRDefault="00DA4664" w:rsidP="006C48ED"/>
    <w:p w14:paraId="7EEB8134" w14:textId="77777777" w:rsidR="008F7877" w:rsidRPr="00250F0E" w:rsidRDefault="008F7877" w:rsidP="008F7877">
      <w:pPr>
        <w:rPr>
          <w:b/>
        </w:rPr>
      </w:pPr>
      <w:r w:rsidRPr="00DA4664">
        <w:rPr>
          <w:b/>
        </w:rPr>
        <w:t>Program Offerings</w:t>
      </w:r>
    </w:p>
    <w:p w14:paraId="4CB46927" w14:textId="0F1E5FA9" w:rsidR="008F7877" w:rsidRDefault="008F7877" w:rsidP="008F7877">
      <w:pPr>
        <w:pStyle w:val="ListParagraph"/>
        <w:numPr>
          <w:ilvl w:val="0"/>
          <w:numId w:val="8"/>
        </w:numPr>
      </w:pPr>
      <w:r>
        <w:t>What is the full breadth of your state’s CTE program offerings (both programs of study and other programs) at the secondary and postsecondary level? How many Career Clusters</w:t>
      </w:r>
      <w:r w:rsidR="00702CCB">
        <w:t>®</w:t>
      </w:r>
      <w:r>
        <w:t xml:space="preserve"> does your state use? How many Career Pathways?</w:t>
      </w:r>
    </w:p>
    <w:p w14:paraId="4032E7B7" w14:textId="77777777" w:rsidR="008F7877" w:rsidRDefault="008F7877" w:rsidP="008F7877"/>
    <w:p w14:paraId="26D635AC" w14:textId="77777777" w:rsidR="003664C0" w:rsidRDefault="003664C0" w:rsidP="008F7877"/>
    <w:p w14:paraId="7BF03C8E" w14:textId="77777777" w:rsidR="008F7877" w:rsidRDefault="008F7877" w:rsidP="008F7877"/>
    <w:p w14:paraId="4A501510" w14:textId="77777777" w:rsidR="008F7877" w:rsidRDefault="008F7877" w:rsidP="008F7877"/>
    <w:p w14:paraId="55B3409E" w14:textId="22E245C2" w:rsidR="008F7877" w:rsidRDefault="008F7877" w:rsidP="008F7877">
      <w:pPr>
        <w:pStyle w:val="ListParagraph"/>
        <w:numPr>
          <w:ilvl w:val="0"/>
          <w:numId w:val="8"/>
        </w:numPr>
      </w:pPr>
      <w:r>
        <w:t>Does your state have different offerings for “programs” and “programs of study” at the secondary and/or postsecondary levels?</w:t>
      </w:r>
    </w:p>
    <w:p w14:paraId="58C2C224" w14:textId="77777777" w:rsidR="008F7877" w:rsidRDefault="008F7877" w:rsidP="008F7877"/>
    <w:p w14:paraId="02D5BDBD" w14:textId="77777777" w:rsidR="003664C0" w:rsidRDefault="003664C0" w:rsidP="008F7877"/>
    <w:p w14:paraId="5CDC9C41" w14:textId="77777777" w:rsidR="003664C0" w:rsidRDefault="003664C0" w:rsidP="008F7877"/>
    <w:p w14:paraId="429EC9A0" w14:textId="77777777" w:rsidR="008F7877" w:rsidRDefault="008F7877" w:rsidP="008F7877"/>
    <w:p w14:paraId="70A47A00" w14:textId="77777777" w:rsidR="008F7877" w:rsidRDefault="008F7877" w:rsidP="008F7877">
      <w:pPr>
        <w:rPr>
          <w:b/>
        </w:rPr>
      </w:pPr>
    </w:p>
    <w:p w14:paraId="70E94D67" w14:textId="77777777" w:rsidR="008F7877" w:rsidRDefault="008F7877" w:rsidP="008F7877">
      <w:pPr>
        <w:rPr>
          <w:b/>
        </w:rPr>
      </w:pPr>
      <w:r w:rsidRPr="00DA4664">
        <w:rPr>
          <w:b/>
        </w:rPr>
        <w:t xml:space="preserve">Program of Study </w:t>
      </w:r>
      <w:r>
        <w:rPr>
          <w:b/>
        </w:rPr>
        <w:t xml:space="preserve">vs. Program of Study </w:t>
      </w:r>
      <w:r w:rsidRPr="00DA4664">
        <w:rPr>
          <w:b/>
        </w:rPr>
        <w:t>Requirements</w:t>
      </w:r>
    </w:p>
    <w:p w14:paraId="414B6EEA" w14:textId="47481C21" w:rsidR="008F7877" w:rsidRDefault="008F7877" w:rsidP="009037B2">
      <w:pPr>
        <w:pStyle w:val="ListParagraph"/>
        <w:numPr>
          <w:ilvl w:val="0"/>
          <w:numId w:val="7"/>
        </w:numPr>
      </w:pPr>
      <w:r>
        <w:t>How does your state define a “program of study?”</w:t>
      </w:r>
      <w:r w:rsidR="00AA75A1">
        <w:t xml:space="preserve"> Are there different definitions for programs of study at the secondary OR postsecondary vs. true secondary-postsecondary programs of study?</w:t>
      </w:r>
    </w:p>
    <w:p w14:paraId="05EAE2A6" w14:textId="77777777" w:rsidR="008F7877" w:rsidRDefault="008F7877" w:rsidP="008F7877"/>
    <w:p w14:paraId="166343FB" w14:textId="77777777" w:rsidR="003664C0" w:rsidRDefault="003664C0" w:rsidP="008F7877"/>
    <w:p w14:paraId="7933C0E8" w14:textId="77777777" w:rsidR="003664C0" w:rsidRDefault="003664C0" w:rsidP="008F7877"/>
    <w:p w14:paraId="517C847C" w14:textId="77777777" w:rsidR="003664C0" w:rsidRDefault="003664C0" w:rsidP="008F7877"/>
    <w:p w14:paraId="1F05B367" w14:textId="77777777" w:rsidR="00920676" w:rsidRDefault="00920676" w:rsidP="008F7877"/>
    <w:p w14:paraId="416FACB4" w14:textId="77777777" w:rsidR="008F7877" w:rsidRDefault="008F7877" w:rsidP="008F7877"/>
    <w:p w14:paraId="74415FB6" w14:textId="2AE98DFE" w:rsidR="008F7877" w:rsidRDefault="008F7877" w:rsidP="009037B2">
      <w:pPr>
        <w:pStyle w:val="ListParagraph"/>
        <w:numPr>
          <w:ilvl w:val="0"/>
          <w:numId w:val="6"/>
        </w:numPr>
      </w:pPr>
      <w:r>
        <w:lastRenderedPageBreak/>
        <w:t>How does your state define a “CTE program”</w:t>
      </w:r>
      <w:r w:rsidR="00AA75A1">
        <w:t xml:space="preserve"> at the secondary and/or postsecondary level </w:t>
      </w:r>
      <w:r>
        <w:t>(if there is a distinction between that and a “program of study”</w:t>
      </w:r>
      <w:r w:rsidR="00AA75A1">
        <w:t>)?</w:t>
      </w:r>
    </w:p>
    <w:p w14:paraId="5D22514B" w14:textId="77777777" w:rsidR="00920676" w:rsidRDefault="00920676" w:rsidP="00920676"/>
    <w:p w14:paraId="30F35ACB" w14:textId="77777777" w:rsidR="003664C0" w:rsidRDefault="003664C0" w:rsidP="00920676"/>
    <w:p w14:paraId="02EEFE1C" w14:textId="77777777" w:rsidR="003664C0" w:rsidRDefault="003664C0" w:rsidP="00920676"/>
    <w:p w14:paraId="08958C1B" w14:textId="77777777" w:rsidR="008F7877" w:rsidRDefault="008F7877" w:rsidP="008F7877"/>
    <w:p w14:paraId="6C2CA3D3" w14:textId="77777777" w:rsidR="008F7877" w:rsidRDefault="008F7877" w:rsidP="008F7877"/>
    <w:p w14:paraId="0795C274" w14:textId="5CF916D3" w:rsidR="008F7877" w:rsidRDefault="008F7877" w:rsidP="009037B2">
      <w:pPr>
        <w:pStyle w:val="ListParagraph"/>
        <w:numPr>
          <w:ilvl w:val="0"/>
          <w:numId w:val="7"/>
        </w:numPr>
      </w:pPr>
      <w:r w:rsidRPr="00C57E64">
        <w:t xml:space="preserve">How are programs of study </w:t>
      </w:r>
      <w:r w:rsidR="00AA75A1">
        <w:t xml:space="preserve">at both learner levels </w:t>
      </w:r>
      <w:r w:rsidRPr="00C57E64">
        <w:t>addressed via the Perkins local application? Does your state require more than the federally required minimum one program of study?</w:t>
      </w:r>
    </w:p>
    <w:p w14:paraId="175185BB" w14:textId="77777777" w:rsidR="008F7877" w:rsidRDefault="008F7877" w:rsidP="008F7877"/>
    <w:p w14:paraId="3C795C5D" w14:textId="77777777" w:rsidR="00920676" w:rsidRDefault="00920676" w:rsidP="008F7877"/>
    <w:p w14:paraId="16D91EEC" w14:textId="77777777" w:rsidR="00920676" w:rsidRDefault="00920676" w:rsidP="008F7877"/>
    <w:p w14:paraId="25971BEA" w14:textId="77777777" w:rsidR="003664C0" w:rsidRDefault="003664C0" w:rsidP="008F7877"/>
    <w:p w14:paraId="3116AC23" w14:textId="77777777" w:rsidR="003664C0" w:rsidRDefault="003664C0" w:rsidP="008F7877"/>
    <w:p w14:paraId="48C7A29E" w14:textId="77777777" w:rsidR="00AA75A1" w:rsidRDefault="008F7877" w:rsidP="00AA75A1">
      <w:pPr>
        <w:pStyle w:val="ListParagraph"/>
        <w:numPr>
          <w:ilvl w:val="0"/>
          <w:numId w:val="6"/>
        </w:numPr>
      </w:pPr>
      <w:r>
        <w:t>How much Perkins funding is required to be spent on programs of study</w:t>
      </w:r>
      <w:r w:rsidR="00AA75A1">
        <w:t xml:space="preserve"> at each learner level?</w:t>
      </w:r>
    </w:p>
    <w:p w14:paraId="49FF2459" w14:textId="77777777" w:rsidR="00AA75A1" w:rsidRDefault="00AA75A1" w:rsidP="00AA75A1"/>
    <w:p w14:paraId="4DD69A2C" w14:textId="77777777" w:rsidR="003664C0" w:rsidRDefault="003664C0" w:rsidP="00AA75A1"/>
    <w:p w14:paraId="3CE5738F" w14:textId="77777777" w:rsidR="003664C0" w:rsidRDefault="003664C0" w:rsidP="00AA75A1"/>
    <w:p w14:paraId="1C43A1CD" w14:textId="77777777" w:rsidR="00AA75A1" w:rsidRDefault="00AA75A1" w:rsidP="00AA75A1"/>
    <w:p w14:paraId="2A707CB5" w14:textId="77777777" w:rsidR="00AA75A1" w:rsidRDefault="00AA75A1" w:rsidP="00AA75A1"/>
    <w:p w14:paraId="4DDF77E1" w14:textId="190AA8E3" w:rsidR="00AA75A1" w:rsidRDefault="00AA75A1" w:rsidP="002D3018">
      <w:pPr>
        <w:pStyle w:val="ListParagraph"/>
        <w:numPr>
          <w:ilvl w:val="0"/>
          <w:numId w:val="6"/>
        </w:numPr>
      </w:pPr>
      <w:r>
        <w:t>How are programs of study developed and implemented in your state</w:t>
      </w:r>
      <w:r w:rsidR="003664C0">
        <w:t>:</w:t>
      </w:r>
    </w:p>
    <w:p w14:paraId="0727C02B" w14:textId="77777777" w:rsidR="00AA75A1" w:rsidRDefault="00AA75A1" w:rsidP="002D3018">
      <w:pPr>
        <w:pStyle w:val="ListParagraph"/>
        <w:numPr>
          <w:ilvl w:val="1"/>
          <w:numId w:val="6"/>
        </w:numPr>
      </w:pPr>
      <w:r>
        <w:t xml:space="preserve">Locals develop programs of study; state approves; </w:t>
      </w:r>
    </w:p>
    <w:p w14:paraId="0DA6D02C" w14:textId="77777777" w:rsidR="00AA75A1" w:rsidRDefault="00AA75A1" w:rsidP="002D3018">
      <w:pPr>
        <w:pStyle w:val="ListParagraph"/>
        <w:numPr>
          <w:ilvl w:val="1"/>
          <w:numId w:val="6"/>
        </w:numPr>
      </w:pPr>
      <w:r>
        <w:t xml:space="preserve">State develops programs of study; voluntary local use; and/or </w:t>
      </w:r>
    </w:p>
    <w:p w14:paraId="77FA8F23" w14:textId="0FD29196" w:rsidR="00AA75A1" w:rsidRDefault="00AA75A1" w:rsidP="002D3018">
      <w:pPr>
        <w:pStyle w:val="ListParagraph"/>
        <w:numPr>
          <w:ilvl w:val="1"/>
          <w:numId w:val="6"/>
        </w:numPr>
      </w:pPr>
      <w:r>
        <w:t>State develops programs of study; mandatory local use</w:t>
      </w:r>
      <w:r w:rsidR="003664C0">
        <w:t>?</w:t>
      </w:r>
    </w:p>
    <w:p w14:paraId="02BD7FC1" w14:textId="77777777" w:rsidR="008F7877" w:rsidRDefault="008F7877" w:rsidP="008F7877"/>
    <w:p w14:paraId="3ADAD09A" w14:textId="77777777" w:rsidR="008F7877" w:rsidRDefault="008F7877" w:rsidP="008F7877"/>
    <w:p w14:paraId="77817458" w14:textId="77777777" w:rsidR="008F7877" w:rsidRDefault="008F7877" w:rsidP="008F7877"/>
    <w:p w14:paraId="7A774A87" w14:textId="77777777" w:rsidR="008F7877" w:rsidRDefault="008F7877" w:rsidP="008F7877">
      <w:pPr>
        <w:rPr>
          <w:b/>
        </w:rPr>
      </w:pPr>
    </w:p>
    <w:p w14:paraId="4D731707" w14:textId="77777777" w:rsidR="008F7877" w:rsidRDefault="008F7877" w:rsidP="008F7877">
      <w:pPr>
        <w:rPr>
          <w:b/>
        </w:rPr>
      </w:pPr>
    </w:p>
    <w:p w14:paraId="5347364B" w14:textId="77777777" w:rsidR="008F7877" w:rsidRPr="00DA4664" w:rsidRDefault="008F7877" w:rsidP="008F7877">
      <w:pPr>
        <w:rPr>
          <w:b/>
        </w:rPr>
      </w:pPr>
      <w:r w:rsidRPr="00DA4664">
        <w:rPr>
          <w:b/>
        </w:rPr>
        <w:t>CTE Standards</w:t>
      </w:r>
    </w:p>
    <w:p w14:paraId="6DFAB169" w14:textId="62E4B193" w:rsidR="008F7877" w:rsidRDefault="008F7877" w:rsidP="009037B2">
      <w:pPr>
        <w:pStyle w:val="ListParagraph"/>
        <w:numPr>
          <w:ilvl w:val="0"/>
          <w:numId w:val="9"/>
        </w:numPr>
      </w:pPr>
      <w:r>
        <w:t>What is your state’s process for developing or approving CTE course or program-level standards at the secondary and postsecondary levels?</w:t>
      </w:r>
      <w:r w:rsidR="00AA75A1">
        <w:t xml:space="preserve"> For reviewing/revising such standards?</w:t>
      </w:r>
    </w:p>
    <w:p w14:paraId="45750500" w14:textId="77777777" w:rsidR="00353A7D" w:rsidRDefault="00353A7D" w:rsidP="00C22985">
      <w:pPr>
        <w:rPr>
          <w:b/>
        </w:rPr>
      </w:pPr>
    </w:p>
    <w:p w14:paraId="354DB495" w14:textId="77777777" w:rsidR="004B589F" w:rsidRDefault="004B589F">
      <w:pPr>
        <w:spacing w:after="160" w:line="259" w:lineRule="auto"/>
        <w:rPr>
          <w:rFonts w:eastAsiaTheme="majorEastAsia" w:cstheme="majorBidi"/>
          <w:b/>
          <w:noProof/>
          <w:color w:val="009AA6"/>
          <w:sz w:val="32"/>
          <w:szCs w:val="32"/>
        </w:rPr>
      </w:pPr>
      <w:r>
        <w:rPr>
          <w:b/>
        </w:rPr>
        <w:br w:type="page"/>
      </w:r>
    </w:p>
    <w:p w14:paraId="01157AF8" w14:textId="77777777" w:rsidR="00263E96" w:rsidRPr="004B589F" w:rsidRDefault="00273D51" w:rsidP="002936C2">
      <w:pPr>
        <w:pStyle w:val="Style1"/>
        <w:numPr>
          <w:ilvl w:val="0"/>
          <w:numId w:val="0"/>
        </w:numPr>
        <w:rPr>
          <w:b/>
        </w:rPr>
      </w:pPr>
      <w:bookmarkStart w:id="12" w:name="_Toc504573052"/>
      <w:r w:rsidRPr="004B589F">
        <w:rPr>
          <w:b/>
        </w:rPr>
        <w:lastRenderedPageBreak/>
        <w:t>Ensuring Quality Programs of Study</w:t>
      </w:r>
      <w:bookmarkEnd w:id="12"/>
    </w:p>
    <w:p w14:paraId="301B3078" w14:textId="77777777" w:rsidR="00DA4664" w:rsidRDefault="00DA4664" w:rsidP="00DA4664">
      <w:r>
        <w:t>Now that you have gathered some background information on how your state defines</w:t>
      </w:r>
      <w:r w:rsidR="00E93942">
        <w:t xml:space="preserve"> and</w:t>
      </w:r>
      <w:r>
        <w:t xml:space="preserve"> approves </w:t>
      </w:r>
      <w:r w:rsidR="00E3287E">
        <w:t xml:space="preserve">programs of study, it’s time to jump into ways in which you can strengthen your own policies, programs and processes around CTE program offerings at the secondary and postsecondary levels. </w:t>
      </w:r>
    </w:p>
    <w:p w14:paraId="1E1F442A" w14:textId="77777777" w:rsidR="00E3287E" w:rsidRDefault="00E3287E" w:rsidP="00DA4664"/>
    <w:p w14:paraId="7BD17566" w14:textId="77777777" w:rsidR="00702CCB" w:rsidRDefault="00E93942" w:rsidP="00DA4664">
      <w:r>
        <w:t xml:space="preserve">This module </w:t>
      </w:r>
      <w:r w:rsidR="00F02248">
        <w:t xml:space="preserve">is structured differently than the previous module. We chose to focus on the major policy levers </w:t>
      </w:r>
      <w:r>
        <w:t>to advance programs of study</w:t>
      </w:r>
      <w:r w:rsidR="00945056">
        <w:t xml:space="preserve">, </w:t>
      </w:r>
      <w:r w:rsidR="00F02248">
        <w:t xml:space="preserve">because each facet contains critical questions that you must explore to build or strengthen your state’s framework of high-quality programs. </w:t>
      </w:r>
    </w:p>
    <w:p w14:paraId="7819D392" w14:textId="77777777" w:rsidR="00702CCB" w:rsidRDefault="00702CCB" w:rsidP="00DA4664"/>
    <w:p w14:paraId="3086B2B3" w14:textId="7865E547" w:rsidR="00945056" w:rsidRDefault="00F02248" w:rsidP="00DA4664">
      <w:r>
        <w:t xml:space="preserve">Through this module, we will walk through: </w:t>
      </w:r>
    </w:p>
    <w:p w14:paraId="3A823809" w14:textId="1BF50568" w:rsidR="003E4F12" w:rsidRDefault="005A3C02">
      <w:pPr>
        <w:pStyle w:val="ListParagraph"/>
        <w:numPr>
          <w:ilvl w:val="0"/>
          <w:numId w:val="9"/>
        </w:numPr>
      </w:pPr>
      <w:r>
        <w:t>CTE p</w:t>
      </w:r>
      <w:r w:rsidR="007A798E">
        <w:t>rogram</w:t>
      </w:r>
      <w:r>
        <w:t xml:space="preserve"> of study</w:t>
      </w:r>
      <w:r w:rsidR="007A798E">
        <w:t xml:space="preserve"> approval </w:t>
      </w:r>
      <w:r w:rsidR="00945056">
        <w:t>policies</w:t>
      </w:r>
      <w:r>
        <w:t>;</w:t>
      </w:r>
    </w:p>
    <w:p w14:paraId="1EA0FAB3" w14:textId="48FDC03D" w:rsidR="0075539F" w:rsidRDefault="003664C0" w:rsidP="0075539F">
      <w:pPr>
        <w:pStyle w:val="ListParagraph"/>
        <w:numPr>
          <w:ilvl w:val="0"/>
          <w:numId w:val="9"/>
        </w:numPr>
      </w:pPr>
      <w:r>
        <w:t>S</w:t>
      </w:r>
      <w:r w:rsidR="0075539F">
        <w:t xml:space="preserve">econdary-postsecondary alignment; </w:t>
      </w:r>
    </w:p>
    <w:p w14:paraId="30AC798A" w14:textId="45C86B52" w:rsidR="003E4F12" w:rsidRDefault="005A3C02">
      <w:pPr>
        <w:pStyle w:val="ListParagraph"/>
        <w:numPr>
          <w:ilvl w:val="0"/>
          <w:numId w:val="9"/>
        </w:numPr>
      </w:pPr>
      <w:r>
        <w:t>The c</w:t>
      </w:r>
      <w:r w:rsidR="007A798E">
        <w:t>ore elements of high-quality programs of study</w:t>
      </w:r>
      <w:r>
        <w:t xml:space="preserve">; </w:t>
      </w:r>
      <w:r w:rsidR="0075539F">
        <w:t>and</w:t>
      </w:r>
    </w:p>
    <w:p w14:paraId="4170201A" w14:textId="49C4D1B4" w:rsidR="005A3C02" w:rsidRDefault="005A3C02" w:rsidP="005A3C02">
      <w:pPr>
        <w:pStyle w:val="ListParagraph"/>
        <w:numPr>
          <w:ilvl w:val="0"/>
          <w:numId w:val="9"/>
        </w:numPr>
      </w:pPr>
      <w:r>
        <w:t>CTE program of study review and re-approval policies.</w:t>
      </w:r>
    </w:p>
    <w:p w14:paraId="7DED700C" w14:textId="77777777" w:rsidR="00945056" w:rsidRDefault="00945056"/>
    <w:p w14:paraId="18F088DF" w14:textId="77777777" w:rsidR="00E3287E" w:rsidRDefault="00E93942" w:rsidP="00DA4664">
      <w:r>
        <w:t>Throughout the module</w:t>
      </w:r>
      <w:r w:rsidR="00E3287E">
        <w:t>, we will ask you to consider how your state structures, supports and advances:</w:t>
      </w:r>
    </w:p>
    <w:p w14:paraId="5EBF94DF" w14:textId="74043E94" w:rsidR="00E3287E" w:rsidRDefault="00E3287E" w:rsidP="005A3C02">
      <w:pPr>
        <w:pStyle w:val="ListParagraph"/>
        <w:numPr>
          <w:ilvl w:val="0"/>
          <w:numId w:val="9"/>
        </w:numPr>
        <w:contextualSpacing w:val="0"/>
      </w:pPr>
      <w:r>
        <w:t xml:space="preserve">Programs of study vs. </w:t>
      </w:r>
      <w:r w:rsidR="00A96D14">
        <w:t xml:space="preserve">CTE </w:t>
      </w:r>
      <w:r>
        <w:t>programs (and what the differences are in terms of design, policies an outcomes)</w:t>
      </w:r>
      <w:r w:rsidR="005A3C02">
        <w:t>;</w:t>
      </w:r>
    </w:p>
    <w:p w14:paraId="76BF2240" w14:textId="0B48B658" w:rsidR="00E3287E" w:rsidRDefault="00E3287E" w:rsidP="005A3C02">
      <w:pPr>
        <w:pStyle w:val="ListParagraph"/>
        <w:numPr>
          <w:ilvl w:val="0"/>
          <w:numId w:val="9"/>
        </w:numPr>
      </w:pPr>
      <w:r>
        <w:t>Federal vs. state levers (and where these may diverge, and can be better aligned)</w:t>
      </w:r>
      <w:r w:rsidR="005A3C02">
        <w:t>; and</w:t>
      </w:r>
    </w:p>
    <w:p w14:paraId="497792D4" w14:textId="781094AB" w:rsidR="005A3C02" w:rsidRDefault="005A3C02" w:rsidP="009037B2">
      <w:pPr>
        <w:pStyle w:val="ListParagraph"/>
        <w:numPr>
          <w:ilvl w:val="0"/>
          <w:numId w:val="9"/>
        </w:numPr>
      </w:pPr>
      <w:r>
        <w:t>Secondary-to-postsecondary alignment (how we move from separate programs and systems to truly seamless pathways for learners through programs of study design and delivery).</w:t>
      </w:r>
    </w:p>
    <w:p w14:paraId="1D91D907" w14:textId="77777777" w:rsidR="00E3287E" w:rsidRDefault="00E3287E" w:rsidP="00E3287E"/>
    <w:p w14:paraId="7F3FAB0B" w14:textId="664BF555" w:rsidR="000A121D" w:rsidRDefault="00702CCB" w:rsidP="006C48ED">
      <w:pPr>
        <w:shd w:val="clear" w:color="auto" w:fill="FFFFFF"/>
        <w:rPr>
          <w:rFonts w:cs="Times New Roman"/>
          <w:color w:val="222222"/>
          <w:szCs w:val="26"/>
        </w:rPr>
      </w:pPr>
      <w:r>
        <w:rPr>
          <w:rFonts w:cs="Times New Roman"/>
          <w:color w:val="222222"/>
          <w:szCs w:val="26"/>
        </w:rPr>
        <w:t>W</w:t>
      </w:r>
      <w:r w:rsidR="006C48ED" w:rsidRPr="00D12F00">
        <w:rPr>
          <w:rFonts w:cs="Times New Roman"/>
          <w:color w:val="222222"/>
          <w:szCs w:val="26"/>
        </w:rPr>
        <w:t>e</w:t>
      </w:r>
      <w:r>
        <w:rPr>
          <w:rFonts w:cs="Times New Roman"/>
          <w:color w:val="222222"/>
          <w:szCs w:val="26"/>
        </w:rPr>
        <w:t xml:space="preserve"> also will</w:t>
      </w:r>
      <w:r w:rsidR="006C48ED" w:rsidRPr="00D12F00">
        <w:rPr>
          <w:rFonts w:cs="Times New Roman"/>
          <w:color w:val="222222"/>
          <w:szCs w:val="26"/>
        </w:rPr>
        <w:t xml:space="preserve"> share information, point you in the direction of states that you might want to investigate further</w:t>
      </w:r>
      <w:r w:rsidR="000A121D">
        <w:rPr>
          <w:rFonts w:cs="Times New Roman"/>
          <w:color w:val="222222"/>
          <w:szCs w:val="26"/>
        </w:rPr>
        <w:t xml:space="preserve"> and offer some leading questions for reflection</w:t>
      </w:r>
      <w:r w:rsidR="006C48ED" w:rsidRPr="00D12F00">
        <w:rPr>
          <w:rFonts w:cs="Times New Roman"/>
          <w:color w:val="222222"/>
          <w:szCs w:val="26"/>
        </w:rPr>
        <w:t xml:space="preserve">. We </w:t>
      </w:r>
      <w:r w:rsidR="006C48ED">
        <w:rPr>
          <w:rFonts w:cs="Times New Roman"/>
          <w:color w:val="222222"/>
          <w:szCs w:val="26"/>
        </w:rPr>
        <w:t xml:space="preserve">encourage </w:t>
      </w:r>
      <w:r w:rsidR="006C48ED" w:rsidRPr="00D12F00">
        <w:rPr>
          <w:rFonts w:cs="Times New Roman"/>
          <w:color w:val="222222"/>
          <w:szCs w:val="26"/>
        </w:rPr>
        <w:t xml:space="preserve">you to </w:t>
      </w:r>
      <w:r w:rsidR="006C48ED">
        <w:rPr>
          <w:rFonts w:cs="Times New Roman"/>
          <w:color w:val="222222"/>
          <w:szCs w:val="26"/>
        </w:rPr>
        <w:t xml:space="preserve">consider using </w:t>
      </w:r>
      <w:r w:rsidR="006C48ED" w:rsidRPr="00D12F00">
        <w:rPr>
          <w:rFonts w:cs="Times New Roman"/>
          <w:color w:val="222222"/>
          <w:szCs w:val="26"/>
        </w:rPr>
        <w:t>this time as a </w:t>
      </w:r>
      <w:r w:rsidR="006C48ED" w:rsidRPr="00D12F00">
        <w:rPr>
          <w:rFonts w:cs="Times New Roman"/>
          <w:color w:val="222222"/>
        </w:rPr>
        <w:t>new</w:t>
      </w:r>
      <w:r w:rsidR="006C48ED" w:rsidRPr="00D12F00">
        <w:rPr>
          <w:rFonts w:cs="Times New Roman"/>
          <w:color w:val="222222"/>
          <w:szCs w:val="26"/>
        </w:rPr>
        <w:t> </w:t>
      </w:r>
      <w:r w:rsidR="006C48ED">
        <w:rPr>
          <w:rFonts w:cs="Times New Roman"/>
          <w:color w:val="222222"/>
        </w:rPr>
        <w:t xml:space="preserve">State Director </w:t>
      </w:r>
      <w:r w:rsidR="006C48ED" w:rsidRPr="00D12F00">
        <w:rPr>
          <w:rFonts w:cs="Times New Roman"/>
          <w:color w:val="222222"/>
          <w:szCs w:val="26"/>
        </w:rPr>
        <w:t xml:space="preserve">to be inquisitive </w:t>
      </w:r>
      <w:r w:rsidR="006D6D6F">
        <w:rPr>
          <w:rFonts w:cs="Times New Roman"/>
          <w:color w:val="222222"/>
          <w:szCs w:val="26"/>
        </w:rPr>
        <w:t xml:space="preserve">– </w:t>
      </w:r>
      <w:r w:rsidR="006C48ED" w:rsidRPr="00D12F00">
        <w:rPr>
          <w:rFonts w:cs="Times New Roman"/>
          <w:color w:val="222222"/>
          <w:szCs w:val="26"/>
        </w:rPr>
        <w:t>and through that inquisitiveness, challenge assumptions</w:t>
      </w:r>
      <w:r w:rsidR="006C48ED">
        <w:rPr>
          <w:rFonts w:cs="Times New Roman"/>
          <w:color w:val="222222"/>
          <w:szCs w:val="26"/>
        </w:rPr>
        <w:t xml:space="preserve">. </w:t>
      </w:r>
    </w:p>
    <w:p w14:paraId="4891CC77" w14:textId="77777777" w:rsidR="000A121D" w:rsidRDefault="000A121D" w:rsidP="006C48ED">
      <w:pPr>
        <w:shd w:val="clear" w:color="auto" w:fill="FFFFFF"/>
        <w:rPr>
          <w:rFonts w:cs="Times New Roman"/>
          <w:color w:val="222222"/>
          <w:szCs w:val="26"/>
        </w:rPr>
      </w:pPr>
    </w:p>
    <w:p w14:paraId="1C5DDAA8" w14:textId="6EF8BDC2" w:rsidR="006C48ED" w:rsidRPr="00D12F00" w:rsidRDefault="006C48ED" w:rsidP="006C48ED">
      <w:pPr>
        <w:shd w:val="clear" w:color="auto" w:fill="FFFFFF"/>
        <w:rPr>
          <w:rFonts w:cs="Times New Roman"/>
          <w:color w:val="222222"/>
          <w:szCs w:val="26"/>
        </w:rPr>
      </w:pPr>
      <w:r>
        <w:rPr>
          <w:rFonts w:cs="Times New Roman"/>
          <w:color w:val="222222"/>
          <w:szCs w:val="26"/>
        </w:rPr>
        <w:t>Building a CTE system around programs</w:t>
      </w:r>
      <w:r w:rsidR="006058DC">
        <w:rPr>
          <w:rFonts w:cs="Times New Roman"/>
          <w:color w:val="222222"/>
          <w:szCs w:val="26"/>
        </w:rPr>
        <w:t xml:space="preserve"> of study</w:t>
      </w:r>
      <w:r>
        <w:rPr>
          <w:rFonts w:cs="Times New Roman"/>
          <w:color w:val="222222"/>
          <w:szCs w:val="26"/>
        </w:rPr>
        <w:t xml:space="preserve"> that are fully aligned between secondary and postsecondary </w:t>
      </w:r>
      <w:r w:rsidR="00606BD0" w:rsidRPr="00606BD0">
        <w:rPr>
          <w:rFonts w:cs="Times New Roman"/>
          <w:i/>
          <w:color w:val="222222"/>
          <w:szCs w:val="26"/>
        </w:rPr>
        <w:t>and</w:t>
      </w:r>
      <w:r>
        <w:rPr>
          <w:rFonts w:cs="Times New Roman"/>
          <w:color w:val="222222"/>
          <w:szCs w:val="26"/>
        </w:rPr>
        <w:t xml:space="preserve"> balance student interest with labor market demand is not easy work</w:t>
      </w:r>
      <w:r w:rsidR="006D6D6F">
        <w:rPr>
          <w:rFonts w:cs="Times New Roman"/>
          <w:color w:val="222222"/>
          <w:szCs w:val="26"/>
        </w:rPr>
        <w:t xml:space="preserve">. It may put you in direct conflict </w:t>
      </w:r>
      <w:r>
        <w:rPr>
          <w:rFonts w:cs="Times New Roman"/>
          <w:color w:val="222222"/>
          <w:szCs w:val="26"/>
        </w:rPr>
        <w:t>with the status quo</w:t>
      </w:r>
      <w:r w:rsidR="006D6D6F">
        <w:rPr>
          <w:rFonts w:cs="Times New Roman"/>
          <w:color w:val="222222"/>
          <w:szCs w:val="26"/>
        </w:rPr>
        <w:t>, b</w:t>
      </w:r>
      <w:r w:rsidRPr="00BE7FE4">
        <w:rPr>
          <w:rFonts w:cs="Times New Roman"/>
          <w:color w:val="222222"/>
          <w:szCs w:val="26"/>
        </w:rPr>
        <w:t>ut if</w:t>
      </w:r>
      <w:r w:rsidR="00B331FF" w:rsidRPr="00BE7FE4">
        <w:rPr>
          <w:rFonts w:cs="Times New Roman"/>
          <w:color w:val="222222"/>
          <w:szCs w:val="26"/>
        </w:rPr>
        <w:t xml:space="preserve"> designed correctly</w:t>
      </w:r>
      <w:r w:rsidR="006D6D6F">
        <w:rPr>
          <w:rFonts w:cs="Times New Roman"/>
          <w:color w:val="222222"/>
          <w:szCs w:val="26"/>
        </w:rPr>
        <w:t xml:space="preserve">, </w:t>
      </w:r>
      <w:r w:rsidR="00BE7FE4" w:rsidRPr="00BE7FE4">
        <w:rPr>
          <w:rFonts w:cs="Times New Roman"/>
          <w:color w:val="222222"/>
          <w:szCs w:val="26"/>
        </w:rPr>
        <w:t>programs of study can p</w:t>
      </w:r>
      <w:r w:rsidR="00B331FF" w:rsidRPr="00BE7FE4">
        <w:rPr>
          <w:rFonts w:cs="Times New Roman"/>
          <w:color w:val="222222"/>
          <w:szCs w:val="26"/>
        </w:rPr>
        <w:t xml:space="preserve">rovide a relevant framework of industry-aligned, rigorous courses that </w:t>
      </w:r>
      <w:r w:rsidR="006D6D6F">
        <w:rPr>
          <w:rFonts w:cs="Times New Roman"/>
          <w:color w:val="222222"/>
          <w:szCs w:val="26"/>
        </w:rPr>
        <w:t xml:space="preserve">allow </w:t>
      </w:r>
      <w:r w:rsidR="009B2041">
        <w:rPr>
          <w:rFonts w:cs="Times New Roman"/>
          <w:color w:val="222222"/>
          <w:szCs w:val="26"/>
        </w:rPr>
        <w:t>learners</w:t>
      </w:r>
      <w:r w:rsidR="006D6D6F">
        <w:rPr>
          <w:rFonts w:cs="Times New Roman"/>
          <w:color w:val="222222"/>
          <w:szCs w:val="26"/>
        </w:rPr>
        <w:t xml:space="preserve"> to progress </w:t>
      </w:r>
      <w:r w:rsidR="00B331FF" w:rsidRPr="00BE7FE4">
        <w:rPr>
          <w:rFonts w:cs="Times New Roman"/>
          <w:color w:val="222222"/>
          <w:szCs w:val="26"/>
        </w:rPr>
        <w:t xml:space="preserve">in knowledge and skills year after year. </w:t>
      </w:r>
    </w:p>
    <w:p w14:paraId="579A284F" w14:textId="77777777" w:rsidR="006C48ED" w:rsidRDefault="006C48ED" w:rsidP="00E3287E"/>
    <w:p w14:paraId="50095144" w14:textId="77777777" w:rsidR="00F86111" w:rsidRDefault="00F86111" w:rsidP="00BE7FE4">
      <w:pPr>
        <w:pStyle w:val="Heading2"/>
      </w:pPr>
      <w:bookmarkStart w:id="13" w:name="_Toc504573053"/>
      <w:r>
        <w:t>Section 1: Program of Study Approval Policies &amp; Processes</w:t>
      </w:r>
      <w:bookmarkEnd w:id="13"/>
    </w:p>
    <w:p w14:paraId="25401878" w14:textId="09C97E71" w:rsidR="005A3C02" w:rsidRDefault="00F86111" w:rsidP="00F86111">
      <w:pPr>
        <w:pStyle w:val="NoSpacing"/>
      </w:pPr>
      <w:r w:rsidRPr="0010007C">
        <w:t>The federal definition of a program of study can be found in section 12</w:t>
      </w:r>
      <w:r w:rsidR="007A367B">
        <w:t>2</w:t>
      </w:r>
      <w:r w:rsidRPr="0010007C">
        <w:t>(c)(1)(A)</w:t>
      </w:r>
      <w:r>
        <w:t xml:space="preserve"> of Perkins</w:t>
      </w:r>
      <w:r w:rsidRPr="0010007C">
        <w:t>.</w:t>
      </w:r>
      <w:r w:rsidR="007A367B">
        <w:rPr>
          <w:rStyle w:val="FootnoteReference"/>
        </w:rPr>
        <w:footnoteReference w:id="1"/>
      </w:r>
      <w:r w:rsidRPr="0010007C">
        <w:t xml:space="preserve"> </w:t>
      </w:r>
      <w:r w:rsidR="007A367B">
        <w:t>While this definition provides the “f</w:t>
      </w:r>
      <w:r w:rsidR="005A3C02">
        <w:t>loor” in terms of requirements,</w:t>
      </w:r>
      <w:r w:rsidR="006058DC">
        <w:t xml:space="preserve"> </w:t>
      </w:r>
      <w:r w:rsidRPr="0010007C">
        <w:t>your state’s policies for program approval and programs of study</w:t>
      </w:r>
      <w:r w:rsidR="007A367B">
        <w:t xml:space="preserve"> can </w:t>
      </w:r>
      <w:r w:rsidR="006058DC">
        <w:t xml:space="preserve">and should </w:t>
      </w:r>
      <w:r w:rsidR="005A3C02">
        <w:t>go beyond it and</w:t>
      </w:r>
      <w:r w:rsidRPr="0010007C">
        <w:t xml:space="preserve"> form a foundati</w:t>
      </w:r>
      <w:r>
        <w:t>on of your state’s CTE system. What’s important to remember is that t</w:t>
      </w:r>
      <w:r w:rsidRPr="0010007C">
        <w:t xml:space="preserve">hese </w:t>
      </w:r>
      <w:r w:rsidR="006058DC">
        <w:t xml:space="preserve">federal guidelines </w:t>
      </w:r>
      <w:r w:rsidRPr="0010007C">
        <w:t xml:space="preserve">determine what your state finds </w:t>
      </w:r>
      <w:r w:rsidR="00606BD0" w:rsidRPr="007A798E">
        <w:rPr>
          <w:i/>
          <w:u w:val="single"/>
        </w:rPr>
        <w:t>minimally</w:t>
      </w:r>
      <w:r w:rsidRPr="0010007C">
        <w:t xml:space="preserve"> acceptable for what programs are offered to the learners in your state.  </w:t>
      </w:r>
    </w:p>
    <w:p w14:paraId="038A5326" w14:textId="77777777" w:rsidR="004F0CC8" w:rsidRDefault="004F0CC8" w:rsidP="00F86111">
      <w:pPr>
        <w:pStyle w:val="NoSpacing"/>
      </w:pPr>
    </w:p>
    <w:p w14:paraId="6CA48935" w14:textId="77777777" w:rsidR="004F0CC8" w:rsidRDefault="004F0CC8" w:rsidP="00E74429">
      <w:pPr>
        <w:pBdr>
          <w:top w:val="single" w:sz="4" w:space="1" w:color="auto"/>
          <w:left w:val="single" w:sz="4" w:space="4" w:color="auto"/>
          <w:bottom w:val="single" w:sz="4" w:space="0" w:color="auto"/>
          <w:right w:val="single" w:sz="4" w:space="17" w:color="auto"/>
        </w:pBdr>
        <w:ind w:right="-180"/>
      </w:pPr>
      <w:r w:rsidRPr="00243EA2">
        <w:rPr>
          <w:b/>
          <w:i/>
          <w:color w:val="009AA6"/>
        </w:rPr>
        <w:t>Helpful Resource</w:t>
      </w:r>
      <w:r w:rsidRPr="00243EA2">
        <w:rPr>
          <w:color w:val="009AA6"/>
        </w:rPr>
        <w:t>:</w:t>
      </w:r>
      <w:r>
        <w:t xml:space="preserve"> </w:t>
      </w:r>
      <w:r w:rsidRPr="004F0CC8">
        <w:rPr>
          <w:i/>
        </w:rPr>
        <w:t>CTE Program of Study Approval</w:t>
      </w:r>
      <w:r>
        <w:rPr>
          <w:i/>
        </w:rPr>
        <w:t xml:space="preserve"> Rubric</w:t>
      </w:r>
      <w:r>
        <w:t xml:space="preserve">: </w:t>
      </w:r>
      <w:hyperlink r:id="rId14" w:history="1">
        <w:r w:rsidR="00E74429" w:rsidRPr="00375684">
          <w:rPr>
            <w:rStyle w:val="Hyperlink"/>
          </w:rPr>
          <w:t>https://cte.careertech.org/sites/default/files/Program_Approval_Policy_Benchmark_Tool_Section_2.pdf</w:t>
        </w:r>
      </w:hyperlink>
      <w:r>
        <w:t xml:space="preserve"> </w:t>
      </w:r>
    </w:p>
    <w:p w14:paraId="7F309D20" w14:textId="77777777" w:rsidR="004F0CC8" w:rsidRDefault="004F0CC8" w:rsidP="00E74429">
      <w:pPr>
        <w:pBdr>
          <w:top w:val="single" w:sz="4" w:space="1" w:color="auto"/>
          <w:left w:val="single" w:sz="4" w:space="4" w:color="auto"/>
          <w:bottom w:val="single" w:sz="4" w:space="0" w:color="auto"/>
          <w:right w:val="single" w:sz="4" w:space="17" w:color="auto"/>
        </w:pBdr>
        <w:ind w:right="-180"/>
      </w:pPr>
    </w:p>
    <w:p w14:paraId="0708E3F7" w14:textId="667BA499" w:rsidR="00F44476" w:rsidRDefault="004F0CC8" w:rsidP="00E74429">
      <w:pPr>
        <w:pBdr>
          <w:top w:val="single" w:sz="4" w:space="1" w:color="auto"/>
          <w:left w:val="single" w:sz="4" w:space="4" w:color="auto"/>
          <w:bottom w:val="single" w:sz="4" w:space="0" w:color="auto"/>
          <w:right w:val="single" w:sz="4" w:space="17" w:color="auto"/>
        </w:pBdr>
        <w:ind w:right="-180"/>
      </w:pPr>
      <w:r>
        <w:lastRenderedPageBreak/>
        <w:t xml:space="preserve">This rubric is part of </w:t>
      </w:r>
      <w:r w:rsidR="006D6D6F">
        <w:t>Advance CTE’s larger</w:t>
      </w:r>
      <w:r>
        <w:t xml:space="preserve"> </w:t>
      </w:r>
      <w:r w:rsidR="000A121D">
        <w:t>policy benchmark tool</w:t>
      </w:r>
      <w:r w:rsidR="006D6D6F">
        <w:t xml:space="preserve"> </w:t>
      </w:r>
      <w:r w:rsidR="000A121D">
        <w:t>for</w:t>
      </w:r>
      <w:r>
        <w:t xml:space="preserve"> CTE </w:t>
      </w:r>
      <w:r w:rsidR="000A121D">
        <w:t>program approval</w:t>
      </w:r>
      <w:r>
        <w:t xml:space="preserve">, which </w:t>
      </w:r>
      <w:r w:rsidR="00E74429">
        <w:t>was</w:t>
      </w:r>
      <w:r>
        <w:t xml:space="preserve"> developed to </w:t>
      </w:r>
      <w:r w:rsidRPr="004F0CC8">
        <w:t xml:space="preserve">help states evaluate and strengthen their </w:t>
      </w:r>
      <w:r>
        <w:t>CTE</w:t>
      </w:r>
      <w:r w:rsidRPr="004F0CC8">
        <w:t xml:space="preserve"> program approval policies and processes</w:t>
      </w:r>
      <w:r w:rsidR="00E74429">
        <w:t xml:space="preserve"> (and ensure </w:t>
      </w:r>
      <w:r w:rsidR="00606BD0" w:rsidRPr="007A798E">
        <w:rPr>
          <w:i/>
        </w:rPr>
        <w:t>ALL</w:t>
      </w:r>
      <w:r w:rsidR="00E74429">
        <w:t xml:space="preserve"> of their CTE programs were at the level of rigor and relevance as a program of study)</w:t>
      </w:r>
      <w:r w:rsidRPr="004F0CC8">
        <w:t>.</w:t>
      </w:r>
      <w:r>
        <w:t xml:space="preserve">  </w:t>
      </w:r>
    </w:p>
    <w:p w14:paraId="7B1E40A3" w14:textId="77777777" w:rsidR="00F44476" w:rsidRDefault="00F44476" w:rsidP="00E74429">
      <w:pPr>
        <w:pBdr>
          <w:top w:val="single" w:sz="4" w:space="1" w:color="auto"/>
          <w:left w:val="single" w:sz="4" w:space="4" w:color="auto"/>
          <w:bottom w:val="single" w:sz="4" w:space="0" w:color="auto"/>
          <w:right w:val="single" w:sz="4" w:space="17" w:color="auto"/>
        </w:pBdr>
        <w:ind w:right="-180"/>
      </w:pPr>
    </w:p>
    <w:p w14:paraId="3FD2C91C" w14:textId="22EE557E" w:rsidR="00702CCB" w:rsidRDefault="004F0CC8" w:rsidP="003664C0">
      <w:pPr>
        <w:pBdr>
          <w:top w:val="single" w:sz="4" w:space="1" w:color="auto"/>
          <w:left w:val="single" w:sz="4" w:space="4" w:color="auto"/>
          <w:bottom w:val="single" w:sz="4" w:space="0" w:color="auto"/>
          <w:right w:val="single" w:sz="4" w:space="17" w:color="auto"/>
        </w:pBdr>
        <w:spacing w:after="120"/>
        <w:ind w:right="-180"/>
      </w:pPr>
      <w:r>
        <w:t xml:space="preserve">To </w:t>
      </w:r>
      <w:r w:rsidR="006D6D6F">
        <w:t xml:space="preserve">receive </w:t>
      </w:r>
      <w:r>
        <w:t>additional assistance on how to use this rubric, please</w:t>
      </w:r>
      <w:r w:rsidR="006D6D6F">
        <w:t xml:space="preserve"> email our State Policy Manager Ashleigh McFadden at</w:t>
      </w:r>
      <w:r>
        <w:t xml:space="preserve"> </w:t>
      </w:r>
      <w:hyperlink r:id="rId15" w:history="1">
        <w:r w:rsidRPr="00375684">
          <w:rPr>
            <w:rStyle w:val="Hyperlink"/>
          </w:rPr>
          <w:t>amcfadden@careertech.org</w:t>
        </w:r>
      </w:hyperlink>
      <w:r w:rsidR="006D6D6F">
        <w:rPr>
          <w:rStyle w:val="Hyperlink"/>
        </w:rPr>
        <w:t>.</w:t>
      </w:r>
      <w:r>
        <w:t xml:space="preserve"> </w:t>
      </w:r>
      <w:r w:rsidR="006D6D6F">
        <w:t xml:space="preserve">Advance CTE is happy to provide virtual and in-person technical assistance to any state that wishes to review its program approval policies. </w:t>
      </w:r>
    </w:p>
    <w:p w14:paraId="42D8B697" w14:textId="77777777" w:rsidR="00F86111" w:rsidRDefault="00F86111" w:rsidP="00F86111"/>
    <w:p w14:paraId="0EE19C85" w14:textId="77777777" w:rsidR="00F86111" w:rsidRPr="002A6387" w:rsidRDefault="00F86111" w:rsidP="002A6387">
      <w:pPr>
        <w:pStyle w:val="Heading3"/>
        <w:rPr>
          <w:b/>
        </w:rPr>
      </w:pPr>
      <w:bookmarkStart w:id="14" w:name="_Toc504573054"/>
      <w:r w:rsidRPr="002A6387">
        <w:rPr>
          <w:b/>
        </w:rPr>
        <w:t>Program Approval Requirements</w:t>
      </w:r>
      <w:bookmarkEnd w:id="14"/>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F86111" w14:paraId="7221B01C" w14:textId="77777777" w:rsidTr="002B5BFC">
        <w:trPr>
          <w:trHeight w:val="49"/>
        </w:trPr>
        <w:tc>
          <w:tcPr>
            <w:tcW w:w="1710" w:type="dxa"/>
            <w:shd w:val="clear" w:color="auto" w:fill="F2F2F2" w:themeFill="background1" w:themeFillShade="F2"/>
            <w:tcMar>
              <w:top w:w="72" w:type="dxa"/>
              <w:left w:w="115" w:type="dxa"/>
              <w:right w:w="115" w:type="dxa"/>
            </w:tcMar>
          </w:tcPr>
          <w:p w14:paraId="003E4FBF" w14:textId="77777777" w:rsidR="00F86111" w:rsidRPr="006169A9" w:rsidRDefault="00F86111" w:rsidP="003E616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7185F30E" w14:textId="0DEA841F" w:rsidR="00F86111" w:rsidRDefault="00E93942" w:rsidP="00F86111">
            <w:r>
              <w:t xml:space="preserve">Perkins only requires states </w:t>
            </w:r>
            <w:r w:rsidR="00F86111">
              <w:t>to approve two programs of study</w:t>
            </w:r>
            <w:r>
              <w:t xml:space="preserve"> at the state level</w:t>
            </w:r>
            <w:r w:rsidR="006D6D6F">
              <w:t xml:space="preserve"> and </w:t>
            </w:r>
            <w:r w:rsidR="003664C0">
              <w:t xml:space="preserve">that </w:t>
            </w:r>
            <w:r w:rsidR="00F86111">
              <w:t xml:space="preserve">each local recipient </w:t>
            </w:r>
            <w:r w:rsidR="00772167">
              <w:t xml:space="preserve">is </w:t>
            </w:r>
            <w:r w:rsidR="00F86111">
              <w:t xml:space="preserve">only required to offer one program of study, </w:t>
            </w:r>
            <w:r w:rsidR="003664C0">
              <w:t xml:space="preserve">meaning </w:t>
            </w:r>
            <w:r w:rsidR="00F86111">
              <w:t>states have tremendous flexibility in requiring and incentivizing a CTE system tha</w:t>
            </w:r>
            <w:r w:rsidR="000A121D">
              <w:t>t prioritizes</w:t>
            </w:r>
            <w:r w:rsidR="00F86111">
              <w:t xml:space="preserve"> </w:t>
            </w:r>
            <w:r w:rsidR="00685DA7">
              <w:t xml:space="preserve">high-quality </w:t>
            </w:r>
            <w:r w:rsidR="00F86111">
              <w:t xml:space="preserve">programs of study over less rigorous pathways. </w:t>
            </w:r>
          </w:p>
          <w:p w14:paraId="3ACA416B" w14:textId="77777777" w:rsidR="00E93942" w:rsidRDefault="00E93942" w:rsidP="00F86111"/>
          <w:p w14:paraId="7C3C8C4B" w14:textId="6FB2E8C2" w:rsidR="00E93942" w:rsidRDefault="00E93942" w:rsidP="00F86111">
            <w:r>
              <w:t>Since the passage of Perkins IV in 2006, a</w:t>
            </w:r>
            <w:r w:rsidR="002B5BFC">
              <w:t xml:space="preserve">n increasing number </w:t>
            </w:r>
            <w:r>
              <w:t xml:space="preserve">of states have decided to go “all in” on programs of study by making them the minimum expectation for all approved programs. </w:t>
            </w:r>
            <w:r w:rsidR="007357A5">
              <w:t>A</w:t>
            </w:r>
            <w:r w:rsidR="002B5BFC">
              <w:t>c</w:t>
            </w:r>
            <w:r w:rsidR="007357A5">
              <w:rPr>
                <w:lang w:val="en-GB"/>
              </w:rPr>
              <w:t>cording to Advance CTE’s 2017 survey about Perkins implementation</w:t>
            </w:r>
            <w:r>
              <w:t>, 1</w:t>
            </w:r>
            <w:r w:rsidR="007357A5">
              <w:t>1</w:t>
            </w:r>
            <w:r>
              <w:t xml:space="preserve"> states reported requiring </w:t>
            </w:r>
            <w:r w:rsidRPr="007357A5">
              <w:rPr>
                <w:i/>
                <w:u w:val="single"/>
              </w:rPr>
              <w:t>100 percent</w:t>
            </w:r>
            <w:r>
              <w:t xml:space="preserve"> of Perkins funds to be distributed </w:t>
            </w:r>
            <w:r w:rsidR="004C7E90">
              <w:t xml:space="preserve">at the local level </w:t>
            </w:r>
            <w:r w:rsidR="007357A5">
              <w:t>to programs of study.</w:t>
            </w:r>
            <w:r w:rsidR="002B5BFC">
              <w:t xml:space="preserve"> In 2010, only eight states required at least 76 percent of their Perkins funds to flow to programs of study at the secondary and postsecondary levels – a number that jumped to 15 in 2017.</w:t>
            </w:r>
          </w:p>
          <w:p w14:paraId="39DF2510" w14:textId="77777777" w:rsidR="00E93942" w:rsidRDefault="00E93942" w:rsidP="00F86111"/>
          <w:p w14:paraId="409DAE8E" w14:textId="196ADA75" w:rsidR="00E93942" w:rsidRDefault="004C7E90" w:rsidP="00F86111">
            <w:r>
              <w:t>One key point to remember</w:t>
            </w:r>
            <w:r w:rsidR="00685DA7">
              <w:t xml:space="preserve"> – </w:t>
            </w:r>
            <w:r>
              <w:t xml:space="preserve">you have the ability to make changes </w:t>
            </w:r>
            <w:r w:rsidRPr="002B5BFC">
              <w:rPr>
                <w:i/>
              </w:rPr>
              <w:t>at any time</w:t>
            </w:r>
            <w:r>
              <w:t xml:space="preserve"> to your </w:t>
            </w:r>
            <w:r w:rsidR="00772167">
              <w:t xml:space="preserve">program </w:t>
            </w:r>
            <w:r>
              <w:t xml:space="preserve">approval policies </w:t>
            </w:r>
            <w:r w:rsidR="00C501C0">
              <w:t>and requirements</w:t>
            </w:r>
            <w:r>
              <w:t xml:space="preserve">. </w:t>
            </w:r>
          </w:p>
          <w:p w14:paraId="7C3E4BF5" w14:textId="77777777" w:rsidR="00366AF0" w:rsidRDefault="00366AF0" w:rsidP="00F86111"/>
          <w:p w14:paraId="7CF4F60E" w14:textId="33681A85" w:rsidR="007357A5" w:rsidRDefault="0051065E" w:rsidP="00F86111">
            <w:r>
              <w:t>T</w:t>
            </w:r>
            <w:r w:rsidR="00685DA7">
              <w:t xml:space="preserve">he current federal law allows </w:t>
            </w:r>
            <w:r>
              <w:t xml:space="preserve">states the flexibility to </w:t>
            </w:r>
            <w:r w:rsidR="00366AF0">
              <w:t xml:space="preserve">choose </w:t>
            </w:r>
            <w:r w:rsidR="00685DA7">
              <w:t>how programs</w:t>
            </w:r>
            <w:r w:rsidR="005A3C02">
              <w:t xml:space="preserve"> and programs of study</w:t>
            </w:r>
            <w:r w:rsidR="00685DA7">
              <w:t xml:space="preserve"> are approved, the process that is used, </w:t>
            </w:r>
            <w:r w:rsidR="00366AF0">
              <w:t>and what evidence</w:t>
            </w:r>
            <w:r w:rsidR="00685DA7">
              <w:t xml:space="preserve"> is required. </w:t>
            </w:r>
            <w:r w:rsidR="00366AF0">
              <w:t xml:space="preserve">  </w:t>
            </w:r>
          </w:p>
          <w:p w14:paraId="5C906142" w14:textId="77777777" w:rsidR="007357A5" w:rsidRDefault="007357A5" w:rsidP="00F86111"/>
          <w:p w14:paraId="29F009A7" w14:textId="77777777" w:rsidR="00366AF0" w:rsidRDefault="007357A5" w:rsidP="00F86111">
            <w:r>
              <w:t xml:space="preserve"> </w:t>
            </w:r>
            <w:r w:rsidR="00366AF0">
              <w:t>The types of decisions left open to states include:</w:t>
            </w:r>
          </w:p>
          <w:p w14:paraId="78AF1BFD" w14:textId="77777777" w:rsidR="00366AF0" w:rsidRDefault="003D09F7" w:rsidP="009037B2">
            <w:pPr>
              <w:pStyle w:val="ListParagraph"/>
              <w:numPr>
                <w:ilvl w:val="0"/>
                <w:numId w:val="17"/>
              </w:numPr>
            </w:pPr>
            <w:r>
              <w:t>T</w:t>
            </w:r>
            <w:r w:rsidR="00366AF0">
              <w:t>he approval/re-approval cycle</w:t>
            </w:r>
            <w:r>
              <w:t>;</w:t>
            </w:r>
          </w:p>
          <w:p w14:paraId="70D1AE52" w14:textId="77777777" w:rsidR="00366AF0" w:rsidRDefault="007357A5" w:rsidP="009037B2">
            <w:pPr>
              <w:pStyle w:val="ListParagraph"/>
              <w:numPr>
                <w:ilvl w:val="0"/>
                <w:numId w:val="17"/>
              </w:numPr>
            </w:pPr>
            <w:r>
              <w:t>The number of courses or credits included within a program of study</w:t>
            </w:r>
            <w:r w:rsidR="003D09F7">
              <w:t>;</w:t>
            </w:r>
          </w:p>
          <w:p w14:paraId="66339D55" w14:textId="38AFE727" w:rsidR="00C501C0" w:rsidRDefault="003D09F7" w:rsidP="005A3C02">
            <w:pPr>
              <w:pStyle w:val="ListParagraph"/>
              <w:numPr>
                <w:ilvl w:val="0"/>
                <w:numId w:val="17"/>
              </w:numPr>
            </w:pPr>
            <w:r>
              <w:t>The role of industry and labor market data in the approval process;</w:t>
            </w:r>
            <w:r w:rsidR="002B5BFC">
              <w:t xml:space="preserve"> </w:t>
            </w:r>
          </w:p>
          <w:p w14:paraId="4F03062E" w14:textId="77777777" w:rsidR="003664C0" w:rsidRDefault="005A3C02" w:rsidP="007450F2">
            <w:pPr>
              <w:pStyle w:val="ListParagraph"/>
              <w:numPr>
                <w:ilvl w:val="0"/>
                <w:numId w:val="17"/>
              </w:numPr>
            </w:pPr>
            <w:r>
              <w:t xml:space="preserve">The role of secondary and postsecondary in program of study </w:t>
            </w:r>
            <w:r w:rsidR="002B5BFC">
              <w:t>development</w:t>
            </w:r>
            <w:r w:rsidR="003664C0">
              <w:t>; and</w:t>
            </w:r>
          </w:p>
          <w:p w14:paraId="529325E5" w14:textId="15BC8707" w:rsidR="00F86111" w:rsidRPr="00EE319E" w:rsidRDefault="003664C0" w:rsidP="00BF67C8">
            <w:pPr>
              <w:pStyle w:val="ListParagraph"/>
              <w:numPr>
                <w:ilvl w:val="0"/>
                <w:numId w:val="17"/>
              </w:numPr>
              <w:spacing w:after="120"/>
            </w:pPr>
            <w:r>
              <w:t xml:space="preserve">The definition/denominators for Perkins </w:t>
            </w:r>
            <w:r w:rsidR="009B2041">
              <w:t>core performance</w:t>
            </w:r>
            <w:r>
              <w:t xml:space="preserve"> indicators, which can set programs of study as the norm. </w:t>
            </w:r>
          </w:p>
        </w:tc>
      </w:tr>
      <w:tr w:rsidR="00F86111" w14:paraId="413D3DD7" w14:textId="77777777" w:rsidTr="002B5BFC">
        <w:trPr>
          <w:trHeight w:val="609"/>
        </w:trPr>
        <w:tc>
          <w:tcPr>
            <w:tcW w:w="1710" w:type="dxa"/>
            <w:shd w:val="clear" w:color="auto" w:fill="D5FCFF"/>
            <w:tcMar>
              <w:top w:w="72" w:type="dxa"/>
              <w:left w:w="115" w:type="dxa"/>
              <w:right w:w="115" w:type="dxa"/>
            </w:tcMar>
          </w:tcPr>
          <w:p w14:paraId="116E0DEC" w14:textId="4211025B" w:rsidR="00F86111" w:rsidRPr="006169A9" w:rsidRDefault="00F86111" w:rsidP="003E6168">
            <w:pPr>
              <w:rPr>
                <w:b/>
              </w:rPr>
            </w:pPr>
            <w:r>
              <w:rPr>
                <w:b/>
              </w:rPr>
              <w:t>State Example</w:t>
            </w:r>
            <w:r w:rsidR="007357A5">
              <w:rPr>
                <w:b/>
              </w:rPr>
              <w:t>s</w:t>
            </w:r>
            <w:r>
              <w:rPr>
                <w:b/>
              </w:rPr>
              <w:t xml:space="preserve"> </w:t>
            </w:r>
          </w:p>
        </w:tc>
        <w:tc>
          <w:tcPr>
            <w:tcW w:w="7758" w:type="dxa"/>
            <w:shd w:val="clear" w:color="auto" w:fill="D5FCFF"/>
            <w:tcMar>
              <w:top w:w="72" w:type="dxa"/>
              <w:left w:w="115" w:type="dxa"/>
              <w:right w:w="115" w:type="dxa"/>
            </w:tcMar>
          </w:tcPr>
          <w:p w14:paraId="242692BB" w14:textId="378EC371" w:rsidR="007C76E8" w:rsidRDefault="007C76E8" w:rsidP="005A3C02">
            <w:r>
              <w:t xml:space="preserve">Tennessee has developed – and only supports – statewide programs of study, which include a sequence of courses, opportunities for dual enrollment, work-based learning experiences and appropriate </w:t>
            </w:r>
            <w:r w:rsidR="005E4814">
              <w:t xml:space="preserve">industry </w:t>
            </w:r>
            <w:r>
              <w:t xml:space="preserve">certifications. </w:t>
            </w:r>
            <w:r w:rsidR="009D0090">
              <w:t xml:space="preserve"> Locals must use the state-developed program of study or use a waiver process to submit a locally developed program with regional labor market demand. </w:t>
            </w:r>
          </w:p>
          <w:p w14:paraId="3E74FB82" w14:textId="77777777" w:rsidR="007C76E8" w:rsidRDefault="00934C08" w:rsidP="005A3C02">
            <w:hyperlink r:id="rId16" w:history="1">
              <w:r w:rsidR="007C76E8" w:rsidRPr="007C76E8">
                <w:rPr>
                  <w:rStyle w:val="Hyperlink"/>
                </w:rPr>
                <w:t>Link</w:t>
              </w:r>
            </w:hyperlink>
          </w:p>
          <w:p w14:paraId="28E17109" w14:textId="77777777" w:rsidR="007C76E8" w:rsidRDefault="007C76E8" w:rsidP="005A3C02"/>
          <w:p w14:paraId="0F167DD4" w14:textId="349F72EB" w:rsidR="009D0090" w:rsidRDefault="007C76E8" w:rsidP="009D0090">
            <w:r>
              <w:lastRenderedPageBreak/>
              <w:t xml:space="preserve">Maryland </w:t>
            </w:r>
            <w:r w:rsidR="009D0090">
              <w:t xml:space="preserve">requires local applicants to complete a “program sequence matrix” as part of their program of study application, along with demonstrating the sequence of courses, industry demand, employer involvement, etc. </w:t>
            </w:r>
          </w:p>
          <w:p w14:paraId="4618D201" w14:textId="1A97672F" w:rsidR="007C76E8" w:rsidRPr="007C76E8" w:rsidRDefault="00934C08" w:rsidP="00BF67C8">
            <w:pPr>
              <w:spacing w:after="120"/>
            </w:pPr>
            <w:hyperlink r:id="rId17" w:history="1">
              <w:r w:rsidR="009D0090" w:rsidRPr="009D0090">
                <w:rPr>
                  <w:rStyle w:val="Hyperlink"/>
                </w:rPr>
                <w:t>Sample application link</w:t>
              </w:r>
            </w:hyperlink>
            <w:r w:rsidR="009D0090">
              <w:t xml:space="preserve"> (Word doc) and </w:t>
            </w:r>
            <w:hyperlink r:id="rId18" w:history="1">
              <w:r w:rsidR="005E4814" w:rsidRPr="005E4814">
                <w:rPr>
                  <w:rStyle w:val="Hyperlink"/>
                </w:rPr>
                <w:t>Link</w:t>
              </w:r>
            </w:hyperlink>
            <w:r w:rsidR="009D0090" w:rsidRPr="007C76E8">
              <w:t xml:space="preserve"> </w:t>
            </w:r>
          </w:p>
        </w:tc>
      </w:tr>
    </w:tbl>
    <w:p w14:paraId="657A33E6" w14:textId="62D1084A" w:rsidR="00F86111" w:rsidRDefault="00F86111" w:rsidP="00F86111"/>
    <w:p w14:paraId="1C25F3BF" w14:textId="77777777" w:rsidR="007A2072" w:rsidRPr="002A6387" w:rsidRDefault="007A2072" w:rsidP="007A2072">
      <w:pPr>
        <w:pStyle w:val="Heading3"/>
        <w:rPr>
          <w:b/>
        </w:rPr>
      </w:pPr>
      <w:bookmarkStart w:id="15" w:name="_Toc504573055"/>
      <w:r>
        <w:rPr>
          <w:b/>
        </w:rPr>
        <w:t>Key Questions: Program of Study Approval</w:t>
      </w:r>
      <w:bookmarkEnd w:id="15"/>
    </w:p>
    <w:p w14:paraId="77049D28" w14:textId="77777777" w:rsidR="007A2072" w:rsidRDefault="007A2072" w:rsidP="00F86111">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429"/>
        <w:gridCol w:w="3498"/>
        <w:gridCol w:w="5063"/>
      </w:tblGrid>
      <w:tr w:rsidR="00790E9E" w:rsidRPr="006169A9" w14:paraId="074FAF25" w14:textId="77777777">
        <w:trPr>
          <w:trHeight w:val="170"/>
          <w:tblHeader/>
        </w:trPr>
        <w:tc>
          <w:tcPr>
            <w:tcW w:w="1429" w:type="dxa"/>
            <w:shd w:val="clear" w:color="auto" w:fill="F2F2F2" w:themeFill="background1" w:themeFillShade="F2"/>
            <w:tcMar>
              <w:top w:w="72" w:type="dxa"/>
              <w:left w:w="115" w:type="dxa"/>
              <w:right w:w="115" w:type="dxa"/>
            </w:tcMar>
            <w:vAlign w:val="center"/>
          </w:tcPr>
          <w:p w14:paraId="070DFF45" w14:textId="77777777" w:rsidR="00790E9E" w:rsidRPr="006169A9" w:rsidRDefault="00790E9E" w:rsidP="003D53A6">
            <w:pPr>
              <w:pStyle w:val="Heading4"/>
              <w:outlineLvl w:val="3"/>
            </w:pPr>
            <w:r>
              <w:br w:type="page"/>
            </w:r>
          </w:p>
        </w:tc>
        <w:tc>
          <w:tcPr>
            <w:tcW w:w="3498" w:type="dxa"/>
            <w:shd w:val="clear" w:color="auto" w:fill="F2F2F2" w:themeFill="background1" w:themeFillShade="F2"/>
            <w:tcMar>
              <w:top w:w="72" w:type="dxa"/>
              <w:left w:w="115" w:type="dxa"/>
              <w:right w:w="115" w:type="dxa"/>
            </w:tcMar>
          </w:tcPr>
          <w:p w14:paraId="3F06B7BC" w14:textId="77777777" w:rsidR="00790E9E" w:rsidRPr="006169A9" w:rsidRDefault="00790E9E" w:rsidP="003D53A6">
            <w:pPr>
              <w:jc w:val="center"/>
              <w:rPr>
                <w:b/>
                <w:i/>
                <w:sz w:val="24"/>
              </w:rPr>
            </w:pPr>
            <w:r>
              <w:rPr>
                <w:b/>
                <w:i/>
                <w:sz w:val="24"/>
              </w:rPr>
              <w:t>Key Questions</w:t>
            </w:r>
          </w:p>
        </w:tc>
        <w:tc>
          <w:tcPr>
            <w:tcW w:w="5063" w:type="dxa"/>
            <w:shd w:val="clear" w:color="auto" w:fill="F2F2F2" w:themeFill="background1" w:themeFillShade="F2"/>
            <w:tcMar>
              <w:top w:w="72" w:type="dxa"/>
              <w:left w:w="115" w:type="dxa"/>
              <w:right w:w="115" w:type="dxa"/>
            </w:tcMar>
          </w:tcPr>
          <w:p w14:paraId="7FC36D93" w14:textId="77777777" w:rsidR="003E4F12" w:rsidRDefault="00606BD0" w:rsidP="007A798E">
            <w:pPr>
              <w:jc w:val="center"/>
            </w:pPr>
            <w:r w:rsidRPr="00606BD0">
              <w:rPr>
                <w:b/>
                <w:i/>
                <w:sz w:val="24"/>
              </w:rPr>
              <w:t>State Response</w:t>
            </w:r>
          </w:p>
        </w:tc>
      </w:tr>
      <w:tr w:rsidR="00790E9E" w14:paraId="14045008" w14:textId="77777777">
        <w:trPr>
          <w:trHeight w:val="763"/>
          <w:tblHeader/>
        </w:trPr>
        <w:tc>
          <w:tcPr>
            <w:tcW w:w="1429" w:type="dxa"/>
            <w:vMerge w:val="restart"/>
            <w:tcMar>
              <w:top w:w="72" w:type="dxa"/>
              <w:left w:w="115" w:type="dxa"/>
              <w:right w:w="115" w:type="dxa"/>
            </w:tcMar>
            <w:vAlign w:val="center"/>
          </w:tcPr>
          <w:p w14:paraId="16FED2F8" w14:textId="77777777" w:rsidR="003E4F12" w:rsidRDefault="00606BD0" w:rsidP="007A798E">
            <w:r w:rsidRPr="00606BD0">
              <w:rPr>
                <w:b/>
                <w:i/>
                <w:sz w:val="24"/>
              </w:rPr>
              <w:t>Program of Study Approval</w:t>
            </w:r>
          </w:p>
        </w:tc>
        <w:tc>
          <w:tcPr>
            <w:tcW w:w="3498" w:type="dxa"/>
            <w:tcMar>
              <w:top w:w="72" w:type="dxa"/>
              <w:left w:w="115" w:type="dxa"/>
              <w:right w:w="115" w:type="dxa"/>
            </w:tcMar>
          </w:tcPr>
          <w:p w14:paraId="48F0343B" w14:textId="736112F2" w:rsidR="00C501C0" w:rsidRPr="005A3C02" w:rsidRDefault="0044414C" w:rsidP="005A3C02">
            <w:pPr>
              <w:pStyle w:val="CommentText"/>
              <w:spacing w:after="120"/>
              <w:rPr>
                <w:sz w:val="22"/>
                <w:szCs w:val="22"/>
              </w:rPr>
            </w:pPr>
            <w:r w:rsidRPr="005A3C02">
              <w:rPr>
                <w:sz w:val="22"/>
                <w:szCs w:val="22"/>
              </w:rPr>
              <w:t xml:space="preserve">What are the minimum expectations for local Perkins recipients regarding programs of study? </w:t>
            </w:r>
            <w:r w:rsidR="007A798E" w:rsidRPr="005A3C02">
              <w:rPr>
                <w:sz w:val="22"/>
                <w:szCs w:val="22"/>
              </w:rPr>
              <w:t xml:space="preserve"> Are they the same at the secondary and postseco</w:t>
            </w:r>
            <w:r w:rsidR="005A3C02">
              <w:rPr>
                <w:sz w:val="22"/>
                <w:szCs w:val="22"/>
              </w:rPr>
              <w:t xml:space="preserve">ndary levels? If not, why not? </w:t>
            </w:r>
          </w:p>
        </w:tc>
        <w:tc>
          <w:tcPr>
            <w:tcW w:w="5063" w:type="dxa"/>
            <w:tcMar>
              <w:top w:w="72" w:type="dxa"/>
              <w:left w:w="115" w:type="dxa"/>
              <w:right w:w="115" w:type="dxa"/>
            </w:tcMar>
          </w:tcPr>
          <w:p w14:paraId="4210A7DB" w14:textId="77777777" w:rsidR="00790E9E" w:rsidRDefault="00790E9E" w:rsidP="003D53A6">
            <w:pPr>
              <w:pStyle w:val="Heading4"/>
              <w:outlineLvl w:val="3"/>
            </w:pPr>
          </w:p>
        </w:tc>
      </w:tr>
      <w:tr w:rsidR="0044414C" w14:paraId="12FA5F9C" w14:textId="77777777">
        <w:trPr>
          <w:trHeight w:val="1027"/>
          <w:tblHeader/>
        </w:trPr>
        <w:tc>
          <w:tcPr>
            <w:tcW w:w="1429" w:type="dxa"/>
            <w:vMerge/>
            <w:tcMar>
              <w:top w:w="72" w:type="dxa"/>
              <w:left w:w="115" w:type="dxa"/>
              <w:right w:w="115" w:type="dxa"/>
            </w:tcMar>
          </w:tcPr>
          <w:p w14:paraId="047F03B9" w14:textId="77777777" w:rsidR="0044414C" w:rsidRPr="006169A9" w:rsidRDefault="0044414C" w:rsidP="0044414C">
            <w:pPr>
              <w:pStyle w:val="Heading4"/>
              <w:outlineLvl w:val="3"/>
            </w:pPr>
          </w:p>
        </w:tc>
        <w:tc>
          <w:tcPr>
            <w:tcW w:w="3498" w:type="dxa"/>
            <w:tcMar>
              <w:top w:w="72" w:type="dxa"/>
              <w:left w:w="115" w:type="dxa"/>
              <w:right w:w="115" w:type="dxa"/>
            </w:tcMar>
          </w:tcPr>
          <w:p w14:paraId="17BE8842" w14:textId="77777777" w:rsidR="0044414C" w:rsidRPr="00C501C0" w:rsidRDefault="0044414C" w:rsidP="007A2072">
            <w:pPr>
              <w:spacing w:after="120"/>
            </w:pPr>
            <w:r>
              <w:t>Why are you investing in programs of study to the degree you are?  If less than 100 percent, what’s the motivation for funding non-programs of study?</w:t>
            </w:r>
          </w:p>
        </w:tc>
        <w:tc>
          <w:tcPr>
            <w:tcW w:w="5063" w:type="dxa"/>
            <w:tcMar>
              <w:top w:w="72" w:type="dxa"/>
              <w:left w:w="115" w:type="dxa"/>
              <w:right w:w="115" w:type="dxa"/>
            </w:tcMar>
          </w:tcPr>
          <w:p w14:paraId="037DFA5C" w14:textId="77777777" w:rsidR="0044414C" w:rsidRDefault="0044414C" w:rsidP="0044414C">
            <w:pPr>
              <w:pStyle w:val="Heading4"/>
              <w:outlineLvl w:val="3"/>
            </w:pPr>
          </w:p>
        </w:tc>
      </w:tr>
      <w:tr w:rsidR="0044414C" w14:paraId="58731004" w14:textId="77777777">
        <w:trPr>
          <w:trHeight w:val="1027"/>
          <w:tblHeader/>
        </w:trPr>
        <w:tc>
          <w:tcPr>
            <w:tcW w:w="1429" w:type="dxa"/>
            <w:vMerge/>
            <w:tcMar>
              <w:top w:w="72" w:type="dxa"/>
              <w:left w:w="115" w:type="dxa"/>
              <w:right w:w="115" w:type="dxa"/>
            </w:tcMar>
          </w:tcPr>
          <w:p w14:paraId="2A32A263" w14:textId="77777777" w:rsidR="0044414C" w:rsidRPr="006169A9" w:rsidRDefault="0044414C" w:rsidP="0044414C">
            <w:pPr>
              <w:pStyle w:val="Heading4"/>
              <w:outlineLvl w:val="3"/>
            </w:pPr>
          </w:p>
        </w:tc>
        <w:tc>
          <w:tcPr>
            <w:tcW w:w="3498" w:type="dxa"/>
            <w:tcMar>
              <w:top w:w="72" w:type="dxa"/>
              <w:left w:w="115" w:type="dxa"/>
              <w:right w:w="115" w:type="dxa"/>
            </w:tcMar>
          </w:tcPr>
          <w:p w14:paraId="738C8B13" w14:textId="77777777" w:rsidR="00512A6F" w:rsidRPr="007A2072" w:rsidRDefault="0044414C" w:rsidP="00E74429">
            <w:pPr>
              <w:rPr>
                <w:rFonts w:eastAsia="Times New Roman" w:cs="Arial"/>
                <w:color w:val="000000"/>
              </w:rPr>
            </w:pPr>
            <w:r>
              <w:t xml:space="preserve">Do you have data on the outcomes of state-approved and supported </w:t>
            </w:r>
            <w:r w:rsidRPr="007A2072">
              <w:rPr>
                <w:i/>
              </w:rPr>
              <w:t>programs of study</w:t>
            </w:r>
            <w:r>
              <w:t xml:space="preserve"> vs. </w:t>
            </w:r>
            <w:r w:rsidRPr="007A2072">
              <w:rPr>
                <w:i/>
              </w:rPr>
              <w:t>programs</w:t>
            </w:r>
            <w:r>
              <w:t>?</w:t>
            </w:r>
          </w:p>
          <w:p w14:paraId="71C0534E" w14:textId="6A3DAB11" w:rsidR="0044414C" w:rsidRPr="007A2072" w:rsidRDefault="0044414C" w:rsidP="009037B2">
            <w:pPr>
              <w:pStyle w:val="ListParagraph"/>
              <w:numPr>
                <w:ilvl w:val="0"/>
                <w:numId w:val="20"/>
              </w:numPr>
              <w:spacing w:after="120"/>
              <w:rPr>
                <w:rFonts w:eastAsia="Times New Roman" w:cs="Arial"/>
                <w:color w:val="000000"/>
              </w:rPr>
            </w:pPr>
            <w:r>
              <w:t xml:space="preserve">What is the “return on your investment” </w:t>
            </w:r>
            <w:r w:rsidR="007450F2">
              <w:t xml:space="preserve">for </w:t>
            </w:r>
            <w:r>
              <w:t>programs of study?</w:t>
            </w:r>
          </w:p>
        </w:tc>
        <w:tc>
          <w:tcPr>
            <w:tcW w:w="5063" w:type="dxa"/>
            <w:tcMar>
              <w:top w:w="72" w:type="dxa"/>
              <w:left w:w="115" w:type="dxa"/>
              <w:right w:w="115" w:type="dxa"/>
            </w:tcMar>
          </w:tcPr>
          <w:p w14:paraId="7A48DDD4" w14:textId="77777777" w:rsidR="0044414C" w:rsidRDefault="0044414C" w:rsidP="0044414C">
            <w:pPr>
              <w:pStyle w:val="Heading4"/>
              <w:outlineLvl w:val="3"/>
            </w:pPr>
          </w:p>
        </w:tc>
      </w:tr>
    </w:tbl>
    <w:p w14:paraId="513A48FC" w14:textId="77777777" w:rsidR="007A2072" w:rsidRDefault="007A2072" w:rsidP="00F86111"/>
    <w:p w14:paraId="1E3C17F6" w14:textId="77777777" w:rsidR="00421367" w:rsidRDefault="00421367">
      <w:pPr>
        <w:spacing w:after="160" w:line="259" w:lineRule="auto"/>
        <w:rPr>
          <w:rFonts w:eastAsiaTheme="majorEastAsia" w:cstheme="majorBidi"/>
          <w:b/>
          <w:i/>
          <w:sz w:val="24"/>
          <w:szCs w:val="24"/>
        </w:rPr>
      </w:pPr>
      <w:r>
        <w:rPr>
          <w:b/>
        </w:rPr>
        <w:br w:type="page"/>
      </w:r>
    </w:p>
    <w:p w14:paraId="440EDC17" w14:textId="7848DC65" w:rsidR="00790E9E" w:rsidRDefault="00F86111" w:rsidP="002A6387">
      <w:pPr>
        <w:pStyle w:val="Heading3"/>
        <w:rPr>
          <w:b/>
        </w:rPr>
      </w:pPr>
      <w:bookmarkStart w:id="16" w:name="_Toc504573056"/>
      <w:r w:rsidRPr="002A6387">
        <w:rPr>
          <w:b/>
        </w:rPr>
        <w:lastRenderedPageBreak/>
        <w:t>State-</w:t>
      </w:r>
      <w:r w:rsidR="00022A73">
        <w:rPr>
          <w:b/>
        </w:rPr>
        <w:t>d</w:t>
      </w:r>
      <w:r w:rsidRPr="002A6387">
        <w:rPr>
          <w:b/>
        </w:rPr>
        <w:t xml:space="preserve">eveloped </w:t>
      </w:r>
      <w:r w:rsidR="00022A73">
        <w:rPr>
          <w:b/>
        </w:rPr>
        <w:t xml:space="preserve">Versus </w:t>
      </w:r>
      <w:r w:rsidRPr="002A6387">
        <w:rPr>
          <w:b/>
        </w:rPr>
        <w:t>State-</w:t>
      </w:r>
      <w:r w:rsidR="00022A73">
        <w:rPr>
          <w:b/>
        </w:rPr>
        <w:t>a</w:t>
      </w:r>
      <w:r w:rsidRPr="002A6387">
        <w:rPr>
          <w:b/>
        </w:rPr>
        <w:t>pproved</w:t>
      </w:r>
      <w:r w:rsidR="009A54E0">
        <w:rPr>
          <w:b/>
        </w:rPr>
        <w:t xml:space="preserve"> Programs of Study</w:t>
      </w:r>
      <w:bookmarkEnd w:id="16"/>
      <w:r w:rsidR="009A54E0">
        <w:rPr>
          <w:b/>
        </w:rPr>
        <w:t xml:space="preserve"> </w:t>
      </w:r>
    </w:p>
    <w:p w14:paraId="091E3174" w14:textId="77777777" w:rsidR="00C16432" w:rsidRDefault="00C16432" w:rsidP="00C16432">
      <w:r>
        <w:t xml:space="preserve">One important lever, or decision point, is whether programs of study are developed or approved (or both) at the state level. </w:t>
      </w:r>
    </w:p>
    <w:p w14:paraId="665BF379" w14:textId="77777777" w:rsidR="00D871C2" w:rsidRPr="00512A6F" w:rsidRDefault="00D871C2" w:rsidP="00512A6F"/>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F86111" w14:paraId="745ADCB6" w14:textId="77777777" w:rsidTr="007450F2">
        <w:trPr>
          <w:trHeight w:val="49"/>
        </w:trPr>
        <w:tc>
          <w:tcPr>
            <w:tcW w:w="1710" w:type="dxa"/>
            <w:shd w:val="clear" w:color="auto" w:fill="F2F2F2" w:themeFill="background1" w:themeFillShade="F2"/>
            <w:tcMar>
              <w:top w:w="72" w:type="dxa"/>
              <w:left w:w="115" w:type="dxa"/>
              <w:right w:w="115" w:type="dxa"/>
            </w:tcMar>
          </w:tcPr>
          <w:p w14:paraId="70985BF8" w14:textId="77777777" w:rsidR="00F86111" w:rsidRPr="006169A9" w:rsidRDefault="00F86111" w:rsidP="003E616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200D3254" w14:textId="3325C89A" w:rsidR="00C16432" w:rsidRDefault="00C16432" w:rsidP="00C16432">
            <w:r>
              <w:t>Although Perkins sets a minimum number of state-level and local</w:t>
            </w:r>
            <w:r w:rsidR="005A3C02">
              <w:t xml:space="preserve"> (state-approved) programs of study, </w:t>
            </w:r>
            <w:r>
              <w:t xml:space="preserve">it does not address the state role in the </w:t>
            </w:r>
            <w:r w:rsidRPr="00D871C2">
              <w:rPr>
                <w:i/>
              </w:rPr>
              <w:t>development</w:t>
            </w:r>
            <w:r>
              <w:t xml:space="preserve"> of those programs of study.</w:t>
            </w:r>
          </w:p>
          <w:p w14:paraId="35509676" w14:textId="77777777" w:rsidR="00020640" w:rsidRDefault="00020640" w:rsidP="004C7E90"/>
          <w:p w14:paraId="6FA8ED74" w14:textId="3321A512" w:rsidR="004C7E90" w:rsidRDefault="00020640" w:rsidP="004C7E90">
            <w:r>
              <w:t>Some states, for example</w:t>
            </w:r>
            <w:r w:rsidR="009B7F7C">
              <w:t>,</w:t>
            </w:r>
            <w:r w:rsidR="004C7E90">
              <w:t xml:space="preserve"> </w:t>
            </w:r>
            <w:r w:rsidR="009B7F7C">
              <w:t>set</w:t>
            </w:r>
            <w:r w:rsidR="004C7E90">
              <w:t xml:space="preserve"> requirements for programs of study (and CTE programs) and then approve locally developed programs. </w:t>
            </w:r>
            <w:r>
              <w:t xml:space="preserve">Other states </w:t>
            </w:r>
            <w:r w:rsidR="004C7E90">
              <w:t xml:space="preserve">design their own programs of study to either serve as models for local innovation or to </w:t>
            </w:r>
            <w:r w:rsidR="009B7F7C">
              <w:t>be adopted as</w:t>
            </w:r>
            <w:r w:rsidR="004C7E90">
              <w:t xml:space="preserve"> local programs. </w:t>
            </w:r>
            <w:r>
              <w:t xml:space="preserve"> </w:t>
            </w:r>
          </w:p>
          <w:p w14:paraId="3EAA6B02" w14:textId="77777777" w:rsidR="00020640" w:rsidRDefault="00020640" w:rsidP="004C7E90"/>
          <w:p w14:paraId="2AD80CE9" w14:textId="77777777" w:rsidR="00020640" w:rsidRDefault="00020640" w:rsidP="004C7E90">
            <w:r>
              <w:t>According to the 2017 Perkins implementation survey:</w:t>
            </w:r>
          </w:p>
          <w:p w14:paraId="3D7410AD" w14:textId="77777777" w:rsidR="00020640" w:rsidRDefault="00020640" w:rsidP="009037B2">
            <w:pPr>
              <w:pStyle w:val="ListParagraph"/>
              <w:numPr>
                <w:ilvl w:val="0"/>
                <w:numId w:val="19"/>
              </w:numPr>
              <w:spacing w:after="120"/>
              <w:contextualSpacing w:val="0"/>
            </w:pPr>
            <w:r>
              <w:t>Nine st</w:t>
            </w:r>
            <w:r w:rsidR="009B7F7C">
              <w:t xml:space="preserve">ates develop programs of study that </w:t>
            </w:r>
            <w:r>
              <w:t xml:space="preserve">are mandated for local use; </w:t>
            </w:r>
          </w:p>
          <w:p w14:paraId="28B08202" w14:textId="77777777" w:rsidR="00020640" w:rsidRDefault="00020640" w:rsidP="009037B2">
            <w:pPr>
              <w:pStyle w:val="ListParagraph"/>
              <w:numPr>
                <w:ilvl w:val="0"/>
                <w:numId w:val="19"/>
              </w:numPr>
              <w:spacing w:after="120"/>
              <w:contextualSpacing w:val="0"/>
            </w:pPr>
            <w:r>
              <w:t>Sixteen st</w:t>
            </w:r>
            <w:r w:rsidR="009B7F7C">
              <w:t xml:space="preserve">ates develop programs of study that </w:t>
            </w:r>
            <w:r>
              <w:t xml:space="preserve">are optional for local use; and </w:t>
            </w:r>
          </w:p>
          <w:p w14:paraId="1678534E" w14:textId="77777777" w:rsidR="00020640" w:rsidRDefault="00020640" w:rsidP="009037B2">
            <w:pPr>
              <w:pStyle w:val="ListParagraph"/>
              <w:numPr>
                <w:ilvl w:val="0"/>
                <w:numId w:val="19"/>
              </w:numPr>
            </w:pPr>
            <w:r>
              <w:t xml:space="preserve">Thirty-six states approve locally developed programs of study. </w:t>
            </w:r>
          </w:p>
          <w:p w14:paraId="2120A33E" w14:textId="77777777" w:rsidR="00020640" w:rsidRDefault="00020640" w:rsidP="00020640"/>
          <w:p w14:paraId="7C233512" w14:textId="71FA528D" w:rsidR="00020640" w:rsidRDefault="00020640" w:rsidP="00020640">
            <w:r>
              <w:t xml:space="preserve">You may </w:t>
            </w:r>
            <w:r w:rsidR="007450F2">
              <w:t>notice</w:t>
            </w:r>
            <w:r>
              <w:t xml:space="preserve"> that those numbers add up to more than 50, as a number of states both develop programs of study for local use </w:t>
            </w:r>
            <w:r w:rsidR="009B7F7C">
              <w:t>and</w:t>
            </w:r>
            <w:r>
              <w:t xml:space="preserve"> approve locally developed programs of study that meet certain criteria. </w:t>
            </w:r>
            <w:r w:rsidR="00C16432">
              <w:t xml:space="preserve">(As a note, even those states </w:t>
            </w:r>
            <w:r w:rsidR="006B456B">
              <w:t xml:space="preserve">solely </w:t>
            </w:r>
            <w:r w:rsidR="00C16432">
              <w:t xml:space="preserve">requiring adoption of state-developed programs of study often have a waiver or similar policy to allow for local innovation or </w:t>
            </w:r>
            <w:r w:rsidR="009B7F7C">
              <w:t xml:space="preserve">limited </w:t>
            </w:r>
            <w:r w:rsidR="00C16432">
              <w:t>exceptions).</w:t>
            </w:r>
          </w:p>
          <w:p w14:paraId="6DB7F28A" w14:textId="77777777" w:rsidR="00790E9E" w:rsidRDefault="00790E9E" w:rsidP="004C7E90"/>
          <w:p w14:paraId="44E093D7" w14:textId="25847718" w:rsidR="00790E9E" w:rsidRDefault="00790E9E" w:rsidP="004C7E90">
            <w:r>
              <w:t xml:space="preserve">Ultimately, </w:t>
            </w:r>
            <w:r w:rsidR="003E6168">
              <w:t xml:space="preserve">when considering whether to develop and/or approve programs of study, there are </w:t>
            </w:r>
            <w:r w:rsidR="00901B5E">
              <w:t xml:space="preserve">a few </w:t>
            </w:r>
            <w:r>
              <w:t>key issues</w:t>
            </w:r>
            <w:r w:rsidR="003E6168">
              <w:t xml:space="preserve"> to consider</w:t>
            </w:r>
            <w:r>
              <w:t>:</w:t>
            </w:r>
          </w:p>
          <w:p w14:paraId="65D9ABD5" w14:textId="41E61C76" w:rsidR="00901B5E" w:rsidRDefault="002E258E" w:rsidP="009037B2">
            <w:pPr>
              <w:pStyle w:val="ListParagraph"/>
              <w:numPr>
                <w:ilvl w:val="0"/>
                <w:numId w:val="18"/>
              </w:numPr>
              <w:spacing w:after="120"/>
              <w:contextualSpacing w:val="0"/>
            </w:pPr>
            <w:r>
              <w:t>The breadth of local programs of study</w:t>
            </w:r>
            <w:r w:rsidR="00901B5E">
              <w:t xml:space="preserve"> (e.g., programs of study aligned with emerging priority sectors)</w:t>
            </w:r>
            <w:r>
              <w:t>;</w:t>
            </w:r>
            <w:r w:rsidR="00901B5E">
              <w:t xml:space="preserve"> </w:t>
            </w:r>
          </w:p>
          <w:p w14:paraId="769474BF" w14:textId="68D5FA1C" w:rsidR="00020640" w:rsidRDefault="00901B5E" w:rsidP="009037B2">
            <w:pPr>
              <w:pStyle w:val="ListParagraph"/>
              <w:numPr>
                <w:ilvl w:val="0"/>
                <w:numId w:val="18"/>
              </w:numPr>
              <w:spacing w:after="120"/>
              <w:contextualSpacing w:val="0"/>
            </w:pPr>
            <w:r>
              <w:t xml:space="preserve">Access to local programs of study (e.g., diversity of offerings in various communities and articulation opportunities); and </w:t>
            </w:r>
          </w:p>
          <w:p w14:paraId="64D90327" w14:textId="36BED9E5" w:rsidR="002E258E" w:rsidRPr="00EE319E" w:rsidRDefault="002E258E" w:rsidP="00901B5E">
            <w:pPr>
              <w:pStyle w:val="ListParagraph"/>
              <w:numPr>
                <w:ilvl w:val="0"/>
                <w:numId w:val="18"/>
              </w:numPr>
              <w:spacing w:after="120"/>
              <w:contextualSpacing w:val="0"/>
            </w:pPr>
            <w:r>
              <w:t>Capacity at the state and local levels for developing quality programs of study</w:t>
            </w:r>
            <w:r w:rsidR="00901B5E">
              <w:t>.</w:t>
            </w:r>
          </w:p>
        </w:tc>
      </w:tr>
      <w:tr w:rsidR="00F86111" w14:paraId="21EB3241" w14:textId="77777777" w:rsidTr="007450F2">
        <w:trPr>
          <w:trHeight w:val="609"/>
        </w:trPr>
        <w:tc>
          <w:tcPr>
            <w:tcW w:w="1710" w:type="dxa"/>
            <w:shd w:val="clear" w:color="auto" w:fill="D5FCFF"/>
            <w:tcMar>
              <w:top w:w="72" w:type="dxa"/>
              <w:left w:w="115" w:type="dxa"/>
              <w:right w:w="115" w:type="dxa"/>
            </w:tcMar>
          </w:tcPr>
          <w:p w14:paraId="5CD22162" w14:textId="28DD1406" w:rsidR="00F86111" w:rsidRPr="006169A9" w:rsidRDefault="00F86111" w:rsidP="003E6168">
            <w:pPr>
              <w:rPr>
                <w:b/>
              </w:rPr>
            </w:pPr>
            <w:r>
              <w:rPr>
                <w:b/>
              </w:rPr>
              <w:t>State Example</w:t>
            </w:r>
            <w:r w:rsidR="00421367">
              <w:rPr>
                <w:b/>
              </w:rPr>
              <w:t>s</w:t>
            </w:r>
            <w:r>
              <w:rPr>
                <w:b/>
              </w:rPr>
              <w:t xml:space="preserve"> </w:t>
            </w:r>
          </w:p>
        </w:tc>
        <w:tc>
          <w:tcPr>
            <w:tcW w:w="7758" w:type="dxa"/>
            <w:shd w:val="clear" w:color="auto" w:fill="D5FCFF"/>
            <w:tcMar>
              <w:top w:w="72" w:type="dxa"/>
              <w:left w:w="115" w:type="dxa"/>
              <w:right w:w="115" w:type="dxa"/>
            </w:tcMar>
          </w:tcPr>
          <w:p w14:paraId="2A248FA1" w14:textId="61BCFBAC" w:rsidR="00D132A3" w:rsidRDefault="004C7E90" w:rsidP="004C7E90">
            <w:pPr>
              <w:rPr>
                <w:rFonts w:eastAsia="Times New Roman" w:cs="Arial"/>
                <w:color w:val="000000"/>
              </w:rPr>
            </w:pPr>
            <w:r w:rsidRPr="00D901B3">
              <w:rPr>
                <w:rFonts w:eastAsia="Times New Roman" w:cs="Arial"/>
                <w:b/>
                <w:color w:val="000000"/>
              </w:rPr>
              <w:t>Delaware’s</w:t>
            </w:r>
            <w:r>
              <w:rPr>
                <w:rFonts w:eastAsia="Times New Roman" w:cs="Arial"/>
                <w:color w:val="000000"/>
              </w:rPr>
              <w:t xml:space="preserve"> </w:t>
            </w:r>
            <w:r w:rsidRPr="007B6035">
              <w:rPr>
                <w:rFonts w:eastAsia="Times New Roman" w:cs="Arial"/>
                <w:color w:val="000000"/>
              </w:rPr>
              <w:t xml:space="preserve">streamlined approval process allows districts to either adopt </w:t>
            </w:r>
            <w:r>
              <w:rPr>
                <w:rFonts w:eastAsia="Times New Roman" w:cs="Arial"/>
                <w:color w:val="000000"/>
              </w:rPr>
              <w:t>a secondary program of study</w:t>
            </w:r>
            <w:r w:rsidRPr="007B6035">
              <w:rPr>
                <w:rFonts w:eastAsia="Times New Roman" w:cs="Arial"/>
                <w:color w:val="000000"/>
              </w:rPr>
              <w:t xml:space="preserve"> </w:t>
            </w:r>
            <w:r>
              <w:rPr>
                <w:rFonts w:eastAsia="Times New Roman" w:cs="Arial"/>
                <w:color w:val="000000"/>
              </w:rPr>
              <w:t>from</w:t>
            </w:r>
            <w:r w:rsidRPr="007B6035">
              <w:rPr>
                <w:rFonts w:eastAsia="Times New Roman" w:cs="Arial"/>
                <w:color w:val="000000"/>
              </w:rPr>
              <w:t xml:space="preserve"> a m</w:t>
            </w:r>
            <w:r>
              <w:rPr>
                <w:rFonts w:eastAsia="Times New Roman" w:cs="Arial"/>
                <w:color w:val="000000"/>
              </w:rPr>
              <w:t>enu of state-model programs</w:t>
            </w:r>
            <w:r w:rsidRPr="007B6035">
              <w:rPr>
                <w:rFonts w:eastAsia="Times New Roman" w:cs="Arial"/>
                <w:color w:val="000000"/>
              </w:rPr>
              <w:t xml:space="preserve"> </w:t>
            </w:r>
            <w:r>
              <w:rPr>
                <w:rFonts w:eastAsia="Times New Roman" w:cs="Arial"/>
                <w:color w:val="000000"/>
              </w:rPr>
              <w:t xml:space="preserve">or </w:t>
            </w:r>
            <w:r w:rsidRPr="007B6035">
              <w:rPr>
                <w:rFonts w:eastAsia="Times New Roman" w:cs="Arial"/>
                <w:color w:val="000000"/>
              </w:rPr>
              <w:t xml:space="preserve">develop </w:t>
            </w:r>
            <w:r>
              <w:rPr>
                <w:rFonts w:eastAsia="Times New Roman" w:cs="Arial"/>
                <w:color w:val="000000"/>
              </w:rPr>
              <w:t xml:space="preserve">a local model, </w:t>
            </w:r>
            <w:r w:rsidRPr="007B6035">
              <w:rPr>
                <w:rFonts w:eastAsia="Times New Roman" w:cs="Arial"/>
                <w:color w:val="000000"/>
              </w:rPr>
              <w:t xml:space="preserve">which </w:t>
            </w:r>
            <w:r>
              <w:rPr>
                <w:rFonts w:eastAsia="Times New Roman" w:cs="Arial"/>
                <w:color w:val="000000"/>
              </w:rPr>
              <w:t>is</w:t>
            </w:r>
            <w:r w:rsidRPr="007B6035">
              <w:rPr>
                <w:rFonts w:eastAsia="Times New Roman" w:cs="Arial"/>
                <w:color w:val="000000"/>
              </w:rPr>
              <w:t xml:space="preserve"> submitted and approved </w:t>
            </w:r>
            <w:r w:rsidR="00421367">
              <w:rPr>
                <w:rFonts w:eastAsia="Times New Roman" w:cs="Arial"/>
                <w:color w:val="000000"/>
              </w:rPr>
              <w:t xml:space="preserve">by the state. </w:t>
            </w:r>
            <w:r w:rsidR="00790E9E">
              <w:rPr>
                <w:rFonts w:eastAsia="Times New Roman" w:cs="Arial"/>
                <w:color w:val="000000"/>
              </w:rPr>
              <w:t>Delaware shifted to this approach in 2014-15 to send a signal to locals of their more rigorous expectations for programs of study, which were designed by the</w:t>
            </w:r>
            <w:r w:rsidR="00685DA7">
              <w:rPr>
                <w:rFonts w:eastAsia="Times New Roman" w:cs="Arial"/>
                <w:color w:val="000000"/>
              </w:rPr>
              <w:t xml:space="preserve"> state</w:t>
            </w:r>
            <w:r w:rsidR="00790E9E">
              <w:rPr>
                <w:rFonts w:eastAsia="Times New Roman" w:cs="Arial"/>
                <w:color w:val="000000"/>
              </w:rPr>
              <w:t xml:space="preserve"> Department of Education with a clear role for postsecondary and labor. </w:t>
            </w:r>
          </w:p>
          <w:p w14:paraId="0457A2C4" w14:textId="7077AB6B" w:rsidR="00F86111" w:rsidRDefault="00934C08" w:rsidP="004C7E90">
            <w:pPr>
              <w:rPr>
                <w:rFonts w:eastAsia="Times New Roman" w:cs="Arial"/>
                <w:color w:val="000000"/>
              </w:rPr>
            </w:pPr>
            <w:hyperlink r:id="rId19" w:history="1">
              <w:r w:rsidR="00D132A3" w:rsidRPr="00D132A3">
                <w:rPr>
                  <w:rStyle w:val="Hyperlink"/>
                  <w:rFonts w:eastAsia="Times New Roman" w:cs="Arial"/>
                </w:rPr>
                <w:t>Link</w:t>
              </w:r>
            </w:hyperlink>
            <w:r w:rsidR="00D132A3">
              <w:rPr>
                <w:rFonts w:eastAsia="Times New Roman" w:cs="Arial"/>
                <w:color w:val="000000"/>
              </w:rPr>
              <w:t xml:space="preserve"> </w:t>
            </w:r>
          </w:p>
          <w:p w14:paraId="310BFDD7" w14:textId="77777777" w:rsidR="00790E9E" w:rsidRDefault="00790E9E" w:rsidP="004C7E90">
            <w:pPr>
              <w:rPr>
                <w:rFonts w:eastAsia="Times New Roman" w:cs="Arial"/>
                <w:color w:val="000000"/>
              </w:rPr>
            </w:pPr>
          </w:p>
          <w:p w14:paraId="39F8084E" w14:textId="00B2B8E8" w:rsidR="00D132A3" w:rsidRDefault="0072296A" w:rsidP="0072296A">
            <w:r w:rsidRPr="0072296A">
              <w:rPr>
                <w:b/>
              </w:rPr>
              <w:t>Texas</w:t>
            </w:r>
            <w:r>
              <w:t xml:space="preserve"> used Perkins state leadership funds to develop model programs of study with postsecondary instructional teams within the 16 Career Clusters. According to Texas’ 2016 Perkins State Plan update, postsecondary programs in Texas were </w:t>
            </w:r>
            <w:r>
              <w:lastRenderedPageBreak/>
              <w:t xml:space="preserve">previously more “job” focused; the current process was used to ensure that program of study models are “career” focused.  </w:t>
            </w:r>
          </w:p>
          <w:p w14:paraId="4AFE896F" w14:textId="017206DE" w:rsidR="009B7F7C" w:rsidRDefault="00934C08" w:rsidP="00BF67C8">
            <w:pPr>
              <w:spacing w:after="120"/>
            </w:pPr>
            <w:hyperlink r:id="rId20" w:history="1">
              <w:r w:rsidR="00D132A3" w:rsidRPr="00D132A3">
                <w:rPr>
                  <w:rStyle w:val="Hyperlink"/>
                </w:rPr>
                <w:t>Link</w:t>
              </w:r>
            </w:hyperlink>
            <w:r w:rsidR="00D132A3">
              <w:t xml:space="preserve"> </w:t>
            </w:r>
          </w:p>
        </w:tc>
      </w:tr>
    </w:tbl>
    <w:p w14:paraId="7E16AAB0" w14:textId="77777777" w:rsidR="00645B9D" w:rsidRDefault="00645B9D" w:rsidP="00F86111"/>
    <w:p w14:paraId="5E40689B" w14:textId="77777777" w:rsidR="007A2072" w:rsidRPr="002A6387" w:rsidRDefault="007A2072" w:rsidP="007A2072">
      <w:pPr>
        <w:pStyle w:val="Heading3"/>
        <w:rPr>
          <w:b/>
        </w:rPr>
      </w:pPr>
      <w:bookmarkStart w:id="17" w:name="_Toc504573057"/>
      <w:r>
        <w:rPr>
          <w:b/>
        </w:rPr>
        <w:t>Key Questions: State-</w:t>
      </w:r>
      <w:r w:rsidR="00685DA7">
        <w:rPr>
          <w:b/>
        </w:rPr>
        <w:t>d</w:t>
      </w:r>
      <w:r>
        <w:rPr>
          <w:b/>
        </w:rPr>
        <w:t xml:space="preserve">eveloped </w:t>
      </w:r>
      <w:r w:rsidR="00022A73">
        <w:rPr>
          <w:b/>
        </w:rPr>
        <w:t>Versus</w:t>
      </w:r>
      <w:r>
        <w:rPr>
          <w:b/>
        </w:rPr>
        <w:t xml:space="preserve"> State-</w:t>
      </w:r>
      <w:r w:rsidR="00685DA7">
        <w:rPr>
          <w:b/>
        </w:rPr>
        <w:t>a</w:t>
      </w:r>
      <w:r>
        <w:rPr>
          <w:b/>
        </w:rPr>
        <w:t>pprov</w:t>
      </w:r>
      <w:r w:rsidR="00685DA7">
        <w:rPr>
          <w:b/>
        </w:rPr>
        <w:t>ed</w:t>
      </w:r>
      <w:r w:rsidR="009A54E0">
        <w:rPr>
          <w:b/>
        </w:rPr>
        <w:t xml:space="preserve"> Programs of Study</w:t>
      </w:r>
      <w:bookmarkEnd w:id="17"/>
    </w:p>
    <w:p w14:paraId="67F9F911" w14:textId="77777777" w:rsidR="007A2072" w:rsidRDefault="007A2072" w:rsidP="007A2072">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479"/>
        <w:gridCol w:w="3483"/>
        <w:gridCol w:w="5028"/>
      </w:tblGrid>
      <w:tr w:rsidR="003E6168" w:rsidRPr="006169A9" w14:paraId="312BF007" w14:textId="77777777" w:rsidTr="0009653B">
        <w:trPr>
          <w:trHeight w:val="458"/>
          <w:tblHeader/>
        </w:trPr>
        <w:tc>
          <w:tcPr>
            <w:tcW w:w="1479" w:type="dxa"/>
            <w:shd w:val="clear" w:color="auto" w:fill="F2F2F2" w:themeFill="background1" w:themeFillShade="F2"/>
            <w:tcMar>
              <w:top w:w="72" w:type="dxa"/>
              <w:left w:w="115" w:type="dxa"/>
              <w:right w:w="115" w:type="dxa"/>
            </w:tcMar>
            <w:vAlign w:val="center"/>
          </w:tcPr>
          <w:p w14:paraId="7BD4FD8E" w14:textId="77777777" w:rsidR="003E6168" w:rsidRPr="006169A9" w:rsidRDefault="003E6168" w:rsidP="003E6168">
            <w:pPr>
              <w:pStyle w:val="Heading4"/>
              <w:outlineLvl w:val="3"/>
            </w:pPr>
            <w:r>
              <w:br w:type="page"/>
            </w:r>
          </w:p>
        </w:tc>
        <w:tc>
          <w:tcPr>
            <w:tcW w:w="3483" w:type="dxa"/>
            <w:shd w:val="clear" w:color="auto" w:fill="F2F2F2" w:themeFill="background1" w:themeFillShade="F2"/>
            <w:tcMar>
              <w:top w:w="72" w:type="dxa"/>
              <w:left w:w="115" w:type="dxa"/>
              <w:right w:w="115" w:type="dxa"/>
            </w:tcMar>
          </w:tcPr>
          <w:p w14:paraId="35101E82" w14:textId="77777777" w:rsidR="003E6168" w:rsidRPr="006169A9" w:rsidRDefault="003E6168" w:rsidP="003E6168">
            <w:pPr>
              <w:jc w:val="center"/>
              <w:rPr>
                <w:b/>
                <w:i/>
                <w:sz w:val="24"/>
              </w:rPr>
            </w:pPr>
            <w:r>
              <w:rPr>
                <w:b/>
                <w:i/>
                <w:sz w:val="24"/>
              </w:rPr>
              <w:t>Key Questions</w:t>
            </w:r>
          </w:p>
        </w:tc>
        <w:tc>
          <w:tcPr>
            <w:tcW w:w="5028" w:type="dxa"/>
            <w:shd w:val="clear" w:color="auto" w:fill="F2F2F2" w:themeFill="background1" w:themeFillShade="F2"/>
            <w:tcMar>
              <w:top w:w="72" w:type="dxa"/>
              <w:left w:w="115" w:type="dxa"/>
              <w:right w:w="115" w:type="dxa"/>
            </w:tcMar>
          </w:tcPr>
          <w:p w14:paraId="466F26AF" w14:textId="77777777" w:rsidR="003E4F12" w:rsidRDefault="00606BD0" w:rsidP="007A798E">
            <w:pPr>
              <w:jc w:val="center"/>
            </w:pPr>
            <w:r w:rsidRPr="007A798E">
              <w:rPr>
                <w:b/>
                <w:i/>
                <w:sz w:val="24"/>
              </w:rPr>
              <w:t>State Response</w:t>
            </w:r>
          </w:p>
        </w:tc>
      </w:tr>
      <w:tr w:rsidR="0009653B" w14:paraId="4B9D0931" w14:textId="77777777" w:rsidTr="0009653B">
        <w:trPr>
          <w:trHeight w:val="1805"/>
          <w:tblHeader/>
        </w:trPr>
        <w:tc>
          <w:tcPr>
            <w:tcW w:w="1479" w:type="dxa"/>
            <w:vMerge w:val="restart"/>
            <w:tcMar>
              <w:top w:w="72" w:type="dxa"/>
              <w:left w:w="115" w:type="dxa"/>
              <w:right w:w="115" w:type="dxa"/>
            </w:tcMar>
            <w:vAlign w:val="center"/>
          </w:tcPr>
          <w:p w14:paraId="7DA3F7F5" w14:textId="4D3ECEFC" w:rsidR="0009653B" w:rsidRPr="00685DA7" w:rsidRDefault="0009653B" w:rsidP="007A367B">
            <w:pPr>
              <w:rPr>
                <w:b/>
                <w:i/>
                <w:sz w:val="24"/>
              </w:rPr>
            </w:pPr>
            <w:r w:rsidRPr="007A798E">
              <w:rPr>
                <w:b/>
                <w:i/>
                <w:sz w:val="24"/>
              </w:rPr>
              <w:t>State-</w:t>
            </w:r>
            <w:r>
              <w:rPr>
                <w:b/>
                <w:i/>
                <w:sz w:val="24"/>
              </w:rPr>
              <w:t>d</w:t>
            </w:r>
            <w:r w:rsidRPr="007A798E">
              <w:rPr>
                <w:b/>
                <w:i/>
                <w:sz w:val="24"/>
              </w:rPr>
              <w:t>eveloped or State-approve</w:t>
            </w:r>
            <w:r>
              <w:rPr>
                <w:b/>
                <w:i/>
                <w:sz w:val="24"/>
              </w:rPr>
              <w:t>d Programs of Study</w:t>
            </w:r>
          </w:p>
        </w:tc>
        <w:tc>
          <w:tcPr>
            <w:tcW w:w="3483" w:type="dxa"/>
            <w:tcMar>
              <w:top w:w="72" w:type="dxa"/>
              <w:left w:w="115" w:type="dxa"/>
              <w:right w:w="115" w:type="dxa"/>
            </w:tcMar>
          </w:tcPr>
          <w:p w14:paraId="166C73C8" w14:textId="1AD4DD43" w:rsidR="00421367" w:rsidRDefault="0009653B" w:rsidP="00421367">
            <w:pPr>
              <w:spacing w:after="120"/>
            </w:pPr>
            <w:r>
              <w:t xml:space="preserve">What do you see as the benefits of state-developed (and required) programs of study vs. locally developed programs of study? What about the downsides?  </w:t>
            </w:r>
          </w:p>
        </w:tc>
        <w:tc>
          <w:tcPr>
            <w:tcW w:w="5028" w:type="dxa"/>
            <w:tcMar>
              <w:top w:w="72" w:type="dxa"/>
              <w:left w:w="115" w:type="dxa"/>
              <w:right w:w="115" w:type="dxa"/>
            </w:tcMar>
          </w:tcPr>
          <w:p w14:paraId="59A28A35" w14:textId="77777777" w:rsidR="0009653B" w:rsidRDefault="0009653B" w:rsidP="003E6168">
            <w:pPr>
              <w:pStyle w:val="Heading4"/>
              <w:outlineLvl w:val="3"/>
            </w:pPr>
          </w:p>
        </w:tc>
      </w:tr>
      <w:tr w:rsidR="00022A73" w14:paraId="6FD59612" w14:textId="77777777">
        <w:trPr>
          <w:trHeight w:val="1434"/>
          <w:tblHeader/>
        </w:trPr>
        <w:tc>
          <w:tcPr>
            <w:tcW w:w="1479" w:type="dxa"/>
            <w:vMerge/>
            <w:tcMar>
              <w:top w:w="72" w:type="dxa"/>
              <w:left w:w="115" w:type="dxa"/>
              <w:right w:w="115" w:type="dxa"/>
            </w:tcMar>
          </w:tcPr>
          <w:p w14:paraId="67DFF602" w14:textId="77777777" w:rsidR="00022A73" w:rsidRPr="006169A9" w:rsidRDefault="00022A73" w:rsidP="005C3E37">
            <w:pPr>
              <w:pStyle w:val="Heading4"/>
              <w:outlineLvl w:val="3"/>
            </w:pPr>
          </w:p>
        </w:tc>
        <w:tc>
          <w:tcPr>
            <w:tcW w:w="3483" w:type="dxa"/>
            <w:tcMar>
              <w:top w:w="72" w:type="dxa"/>
              <w:left w:w="115" w:type="dxa"/>
              <w:right w:w="115" w:type="dxa"/>
            </w:tcMar>
          </w:tcPr>
          <w:p w14:paraId="15ED9367" w14:textId="2FB97E2F" w:rsidR="00022A73" w:rsidRPr="00C501C0" w:rsidRDefault="00353615" w:rsidP="005E4F76">
            <w:pPr>
              <w:spacing w:after="120"/>
            </w:pPr>
            <w:r w:rsidRPr="00353615">
              <w:rPr>
                <w:i/>
              </w:rPr>
              <w:t>(If applicable)</w:t>
            </w:r>
            <w:r>
              <w:t xml:space="preserve"> </w:t>
            </w:r>
            <w:r w:rsidR="00022A73">
              <w:t xml:space="preserve">Are locally developed programs </w:t>
            </w:r>
            <w:r>
              <w:t xml:space="preserve">consistently </w:t>
            </w:r>
            <w:r w:rsidR="00022A73">
              <w:t>meeting a high standard of excellence or is there too much variability across districts and postsecondary institutions?</w:t>
            </w:r>
          </w:p>
        </w:tc>
        <w:tc>
          <w:tcPr>
            <w:tcW w:w="5028" w:type="dxa"/>
            <w:tcMar>
              <w:top w:w="72" w:type="dxa"/>
              <w:left w:w="115" w:type="dxa"/>
              <w:right w:w="115" w:type="dxa"/>
            </w:tcMar>
          </w:tcPr>
          <w:p w14:paraId="563CA6BD" w14:textId="77777777" w:rsidR="00022A73" w:rsidRDefault="00022A73" w:rsidP="005C3E37">
            <w:pPr>
              <w:pStyle w:val="Heading4"/>
              <w:outlineLvl w:val="3"/>
            </w:pPr>
          </w:p>
        </w:tc>
      </w:tr>
      <w:tr w:rsidR="00022A73" w14:paraId="45AC1CA4" w14:textId="77777777">
        <w:trPr>
          <w:trHeight w:val="1027"/>
          <w:tblHeader/>
        </w:trPr>
        <w:tc>
          <w:tcPr>
            <w:tcW w:w="1479" w:type="dxa"/>
            <w:vMerge/>
            <w:tcMar>
              <w:top w:w="72" w:type="dxa"/>
              <w:left w:w="115" w:type="dxa"/>
              <w:right w:w="115" w:type="dxa"/>
            </w:tcMar>
          </w:tcPr>
          <w:p w14:paraId="6FEB2294" w14:textId="77777777" w:rsidR="00022A73" w:rsidRPr="006169A9" w:rsidRDefault="00022A73" w:rsidP="005C3E37">
            <w:pPr>
              <w:pStyle w:val="Heading4"/>
              <w:outlineLvl w:val="3"/>
            </w:pPr>
          </w:p>
        </w:tc>
        <w:tc>
          <w:tcPr>
            <w:tcW w:w="3483" w:type="dxa"/>
            <w:tcMar>
              <w:top w:w="72" w:type="dxa"/>
              <w:left w:w="115" w:type="dxa"/>
              <w:right w:w="115" w:type="dxa"/>
            </w:tcMar>
          </w:tcPr>
          <w:p w14:paraId="2A9A734A" w14:textId="77777777" w:rsidR="00022A73" w:rsidRPr="005C3E37" w:rsidRDefault="00022A73" w:rsidP="005E4F76">
            <w:pPr>
              <w:spacing w:after="120"/>
            </w:pPr>
            <w:r>
              <w:t>How can state-developed programs or models be leveraged to build capacity at the local level?</w:t>
            </w:r>
          </w:p>
        </w:tc>
        <w:tc>
          <w:tcPr>
            <w:tcW w:w="5028" w:type="dxa"/>
            <w:tcMar>
              <w:top w:w="72" w:type="dxa"/>
              <w:left w:w="115" w:type="dxa"/>
              <w:right w:w="115" w:type="dxa"/>
            </w:tcMar>
          </w:tcPr>
          <w:p w14:paraId="0245AA8A" w14:textId="77777777" w:rsidR="00022A73" w:rsidRDefault="00022A73" w:rsidP="005C3E37">
            <w:pPr>
              <w:pStyle w:val="Heading4"/>
              <w:outlineLvl w:val="3"/>
            </w:pPr>
          </w:p>
        </w:tc>
      </w:tr>
      <w:tr w:rsidR="0009653B" w14:paraId="5C9AF523" w14:textId="77777777">
        <w:trPr>
          <w:trHeight w:val="1027"/>
          <w:tblHeader/>
        </w:trPr>
        <w:tc>
          <w:tcPr>
            <w:tcW w:w="1479" w:type="dxa"/>
            <w:vMerge/>
            <w:tcMar>
              <w:top w:w="72" w:type="dxa"/>
              <w:left w:w="115" w:type="dxa"/>
              <w:right w:w="115" w:type="dxa"/>
            </w:tcMar>
          </w:tcPr>
          <w:p w14:paraId="43051E04" w14:textId="77777777" w:rsidR="0009653B" w:rsidRPr="006169A9" w:rsidRDefault="0009653B" w:rsidP="0009653B">
            <w:pPr>
              <w:pStyle w:val="Heading4"/>
              <w:outlineLvl w:val="3"/>
            </w:pPr>
          </w:p>
        </w:tc>
        <w:tc>
          <w:tcPr>
            <w:tcW w:w="3483" w:type="dxa"/>
            <w:tcMar>
              <w:top w:w="72" w:type="dxa"/>
              <w:left w:w="115" w:type="dxa"/>
              <w:right w:w="115" w:type="dxa"/>
            </w:tcMar>
          </w:tcPr>
          <w:p w14:paraId="365D5B17" w14:textId="3A77B8D5" w:rsidR="0009653B" w:rsidRDefault="00353615" w:rsidP="0009653B">
            <w:pPr>
              <w:spacing w:after="120"/>
            </w:pPr>
            <w:r w:rsidRPr="00353615">
              <w:rPr>
                <w:i/>
              </w:rPr>
              <w:t>(If applicable)</w:t>
            </w:r>
            <w:r>
              <w:t xml:space="preserve"> </w:t>
            </w:r>
            <w:r w:rsidR="0009653B">
              <w:t>What does your data tell you about state-developed vs. locally developed/state-approved programs of study?</w:t>
            </w:r>
          </w:p>
        </w:tc>
        <w:tc>
          <w:tcPr>
            <w:tcW w:w="5028" w:type="dxa"/>
            <w:tcMar>
              <w:top w:w="72" w:type="dxa"/>
              <w:left w:w="115" w:type="dxa"/>
              <w:right w:w="115" w:type="dxa"/>
            </w:tcMar>
          </w:tcPr>
          <w:p w14:paraId="367C60D1" w14:textId="77777777" w:rsidR="0009653B" w:rsidRDefault="0009653B" w:rsidP="0009653B">
            <w:pPr>
              <w:pStyle w:val="Heading4"/>
              <w:outlineLvl w:val="3"/>
            </w:pPr>
          </w:p>
        </w:tc>
      </w:tr>
      <w:tr w:rsidR="0009653B" w14:paraId="7BB6C40B" w14:textId="77777777">
        <w:trPr>
          <w:trHeight w:val="1027"/>
          <w:tblHeader/>
        </w:trPr>
        <w:tc>
          <w:tcPr>
            <w:tcW w:w="1479" w:type="dxa"/>
            <w:vMerge/>
            <w:tcMar>
              <w:top w:w="72" w:type="dxa"/>
              <w:left w:w="115" w:type="dxa"/>
              <w:right w:w="115" w:type="dxa"/>
            </w:tcMar>
          </w:tcPr>
          <w:p w14:paraId="76D3955F" w14:textId="77777777" w:rsidR="0009653B" w:rsidRPr="006169A9" w:rsidRDefault="0009653B" w:rsidP="0009653B">
            <w:pPr>
              <w:pStyle w:val="Heading4"/>
              <w:outlineLvl w:val="3"/>
            </w:pPr>
          </w:p>
        </w:tc>
        <w:tc>
          <w:tcPr>
            <w:tcW w:w="3483" w:type="dxa"/>
            <w:tcMar>
              <w:top w:w="72" w:type="dxa"/>
              <w:left w:w="115" w:type="dxa"/>
              <w:right w:w="115" w:type="dxa"/>
            </w:tcMar>
          </w:tcPr>
          <w:p w14:paraId="2E164D88" w14:textId="77777777" w:rsidR="0009653B" w:rsidRDefault="0009653B" w:rsidP="0009653B">
            <w:pPr>
              <w:spacing w:after="120"/>
            </w:pPr>
            <w:r>
              <w:t>Are there any Career Clusters or fields largely unattended to that would benefit from state-developed programs of study (i.e., emerging fields)?</w:t>
            </w:r>
          </w:p>
        </w:tc>
        <w:tc>
          <w:tcPr>
            <w:tcW w:w="5028" w:type="dxa"/>
            <w:tcMar>
              <w:top w:w="72" w:type="dxa"/>
              <w:left w:w="115" w:type="dxa"/>
              <w:right w:w="115" w:type="dxa"/>
            </w:tcMar>
          </w:tcPr>
          <w:p w14:paraId="28A9232A" w14:textId="77777777" w:rsidR="0009653B" w:rsidRDefault="0009653B" w:rsidP="0009653B">
            <w:pPr>
              <w:pStyle w:val="Heading4"/>
              <w:outlineLvl w:val="3"/>
            </w:pPr>
          </w:p>
        </w:tc>
      </w:tr>
    </w:tbl>
    <w:p w14:paraId="543F0B57" w14:textId="77777777" w:rsidR="00421367" w:rsidRDefault="00421367" w:rsidP="00421367"/>
    <w:p w14:paraId="321DB258" w14:textId="77777777" w:rsidR="00421367" w:rsidRDefault="00421367" w:rsidP="00421367">
      <w:pPr>
        <w:rPr>
          <w:rFonts w:eastAsiaTheme="majorEastAsia" w:cstheme="majorBidi"/>
          <w:sz w:val="24"/>
          <w:szCs w:val="24"/>
        </w:rPr>
      </w:pPr>
      <w:r>
        <w:br w:type="page"/>
      </w:r>
    </w:p>
    <w:p w14:paraId="66420AAC" w14:textId="11A2EAFD" w:rsidR="00F86111" w:rsidRDefault="00F86111" w:rsidP="002A6387">
      <w:pPr>
        <w:pStyle w:val="Heading3"/>
        <w:rPr>
          <w:b/>
        </w:rPr>
      </w:pPr>
      <w:bookmarkStart w:id="18" w:name="_Toc504573058"/>
      <w:r w:rsidRPr="002A6387">
        <w:rPr>
          <w:b/>
        </w:rPr>
        <w:lastRenderedPageBreak/>
        <w:t>Program of Study Funding</w:t>
      </w:r>
      <w:bookmarkEnd w:id="18"/>
    </w:p>
    <w:p w14:paraId="0EA05EE0" w14:textId="7818103F" w:rsidR="00D966DC" w:rsidRDefault="009A2C65" w:rsidP="00D966DC">
      <w:r>
        <w:t xml:space="preserve">Again, Perkins is </w:t>
      </w:r>
      <w:r w:rsidR="009B7F7C">
        <w:t>impartial</w:t>
      </w:r>
      <w:r>
        <w:t xml:space="preserve"> on how much funding is directed to programs of study – which leads to a range of investments as </w:t>
      </w:r>
      <w:r w:rsidR="002A5EA2">
        <w:t>described</w:t>
      </w:r>
      <w:r>
        <w:t xml:space="preserve"> above. However, there are other levers you can consider for supporting programs of study, including </w:t>
      </w:r>
      <w:r w:rsidR="00AD19EE">
        <w:t>Perkins R</w:t>
      </w:r>
      <w:r>
        <w:t>eserve funds</w:t>
      </w:r>
      <w:r w:rsidR="009B7F7C">
        <w:t xml:space="preserve"> and state-level funds</w:t>
      </w:r>
      <w:r>
        <w:t xml:space="preserve">. </w:t>
      </w:r>
    </w:p>
    <w:p w14:paraId="68DD6069" w14:textId="77777777" w:rsidR="0009653B" w:rsidRDefault="0009653B" w:rsidP="00D966DC"/>
    <w:p w14:paraId="6C6623CD" w14:textId="223E4D47" w:rsidR="0009653B" w:rsidRPr="0009653B" w:rsidRDefault="0009653B" w:rsidP="005C0BBA">
      <w:pPr>
        <w:pBdr>
          <w:top w:val="single" w:sz="4" w:space="1" w:color="auto"/>
          <w:left w:val="single" w:sz="4" w:space="4" w:color="auto"/>
          <w:bottom w:val="single" w:sz="4" w:space="0" w:color="auto"/>
          <w:right w:val="single" w:sz="4" w:space="17" w:color="auto"/>
        </w:pBdr>
        <w:ind w:right="-180"/>
        <w:jc w:val="both"/>
        <w:rPr>
          <w:i/>
        </w:rPr>
      </w:pPr>
      <w:r w:rsidRPr="00243EA2">
        <w:rPr>
          <w:b/>
          <w:i/>
          <w:color w:val="009AA6"/>
        </w:rPr>
        <w:t>Helpful Resource</w:t>
      </w:r>
      <w:r w:rsidRPr="00243EA2">
        <w:rPr>
          <w:color w:val="009AA6"/>
        </w:rPr>
        <w:t>:</w:t>
      </w:r>
      <w:r>
        <w:t xml:space="preserve"> </w:t>
      </w:r>
      <w:r w:rsidR="00421367">
        <w:rPr>
          <w:i/>
        </w:rPr>
        <w:t xml:space="preserve">This program’s first module, </w:t>
      </w:r>
      <w:r w:rsidR="00421367" w:rsidRPr="00421367">
        <w:t>“</w:t>
      </w:r>
      <w:hyperlink r:id="rId21" w:history="1">
        <w:r w:rsidRPr="005C0BBA">
          <w:rPr>
            <w:rStyle w:val="Hyperlink"/>
          </w:rPr>
          <w:t>Maximizing the Impact of Your State’s Carl D. Perkins Career and Technical Education Act Allocation</w:t>
        </w:r>
      </w:hyperlink>
      <w:r>
        <w:rPr>
          <w:i/>
        </w:rPr>
        <w:t>,</w:t>
      </w:r>
      <w:r w:rsidR="00421367">
        <w:t>”</w:t>
      </w:r>
      <w:r>
        <w:rPr>
          <w:i/>
        </w:rPr>
        <w:t xml:space="preserve"> provided extensive information and state examples of how to best leverage Perkins funds to advance your statewide vision for CTE. </w:t>
      </w:r>
      <w:r w:rsidR="005C0BBA">
        <w:rPr>
          <w:i/>
        </w:rPr>
        <w:t xml:space="preserve">You can access the module through the Advance CTE website. You will need your log-in and password, as this is on a members-only page. </w:t>
      </w:r>
    </w:p>
    <w:p w14:paraId="39646A8D" w14:textId="77777777" w:rsidR="009A2C65" w:rsidRPr="00D966DC" w:rsidRDefault="009A2C65" w:rsidP="00D966DC"/>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F86111" w14:paraId="038DAC6A" w14:textId="77777777" w:rsidTr="00421367">
        <w:trPr>
          <w:trHeight w:val="49"/>
        </w:trPr>
        <w:tc>
          <w:tcPr>
            <w:tcW w:w="1710" w:type="dxa"/>
            <w:shd w:val="clear" w:color="auto" w:fill="F2F2F2" w:themeFill="background1" w:themeFillShade="F2"/>
            <w:tcMar>
              <w:top w:w="72" w:type="dxa"/>
              <w:left w:w="115" w:type="dxa"/>
              <w:right w:w="115" w:type="dxa"/>
            </w:tcMar>
          </w:tcPr>
          <w:p w14:paraId="5C587F62" w14:textId="77777777" w:rsidR="00F86111" w:rsidRPr="006169A9" w:rsidRDefault="00F86111" w:rsidP="003E616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4A1BBC7A" w14:textId="77777777" w:rsidR="00F86111" w:rsidRDefault="00771A01" w:rsidP="003E6168">
            <w:r>
              <w:t xml:space="preserve">Even if your state is not ready to require programs of study across the board, there are other ways to incentivize locals to adopt or develop them. </w:t>
            </w:r>
          </w:p>
          <w:p w14:paraId="251A610D" w14:textId="77777777" w:rsidR="00771A01" w:rsidRDefault="00771A01" w:rsidP="003E6168"/>
          <w:p w14:paraId="0009E334" w14:textId="4E342BE2" w:rsidR="00771A01" w:rsidRDefault="00771A01" w:rsidP="00771A01">
            <w:r>
              <w:t xml:space="preserve">According to the 2017 Perkins implementation survey, 21 states </w:t>
            </w:r>
            <w:r w:rsidR="008F6330">
              <w:t xml:space="preserve">reported that at </w:t>
            </w:r>
            <w:r w:rsidR="00D04EDB">
              <w:t xml:space="preserve">least one of the policy goals </w:t>
            </w:r>
            <w:r w:rsidR="00421367">
              <w:t>for the</w:t>
            </w:r>
            <w:r>
              <w:t xml:space="preserve"> </w:t>
            </w:r>
            <w:r w:rsidR="00421367">
              <w:t>Perkins r</w:t>
            </w:r>
            <w:r>
              <w:t xml:space="preserve">eserve </w:t>
            </w:r>
            <w:r w:rsidR="00421367">
              <w:t>f</w:t>
            </w:r>
            <w:r>
              <w:t>und</w:t>
            </w:r>
            <w:r w:rsidR="0009653B">
              <w:t xml:space="preserve"> (Section 112)</w:t>
            </w:r>
            <w:r w:rsidR="008F6330">
              <w:t xml:space="preserve"> is</w:t>
            </w:r>
            <w:r>
              <w:t xml:space="preserve"> to incentivize the development of programs of study</w:t>
            </w:r>
            <w:r w:rsidR="0009653B">
              <w:t xml:space="preserve">. </w:t>
            </w:r>
            <w:r w:rsidR="00421367">
              <w:t>Additionally</w:t>
            </w:r>
            <w:r w:rsidR="0009653B">
              <w:t xml:space="preserve">, 24 </w:t>
            </w:r>
            <w:r>
              <w:t>states</w:t>
            </w:r>
            <w:r w:rsidR="00D04EDB">
              <w:t xml:space="preserve"> reported that</w:t>
            </w:r>
            <w:r>
              <w:t xml:space="preserve"> incentiviz</w:t>
            </w:r>
            <w:r w:rsidR="00D04EDB">
              <w:t>ing</w:t>
            </w:r>
            <w:r>
              <w:t xml:space="preserve"> the implementation of programs of study</w:t>
            </w:r>
            <w:r w:rsidR="00D04EDB">
              <w:t xml:space="preserve"> was one of the fund’s policy goals</w:t>
            </w:r>
            <w:r>
              <w:t xml:space="preserve">.  </w:t>
            </w:r>
          </w:p>
          <w:p w14:paraId="2F02DFCC" w14:textId="77777777" w:rsidR="0009653B" w:rsidRDefault="0009653B" w:rsidP="00771A01"/>
          <w:p w14:paraId="1C506031" w14:textId="232C5A80" w:rsidR="0009653B" w:rsidRDefault="0009653B" w:rsidP="00771A01">
            <w:r>
              <w:t xml:space="preserve">A number of states also provide incentive grants using leadership funds and/or incentivize pooling of funds at the local level to encourage program of study development and implementation. </w:t>
            </w:r>
          </w:p>
          <w:p w14:paraId="165DED34" w14:textId="77777777" w:rsidR="002A1323" w:rsidRDefault="002A1323" w:rsidP="00771A01"/>
          <w:p w14:paraId="6CBC30BE" w14:textId="2F2204A6" w:rsidR="00E06975" w:rsidRDefault="002A1323" w:rsidP="00771A01">
            <w:r>
              <w:t xml:space="preserve">In addition, CTE programs of study </w:t>
            </w:r>
            <w:r w:rsidR="0009653B">
              <w:t xml:space="preserve">typically </w:t>
            </w:r>
            <w:r>
              <w:t xml:space="preserve">receive </w:t>
            </w:r>
            <w:r w:rsidR="00F17C3A">
              <w:t>a significant</w:t>
            </w:r>
            <w:r>
              <w:t xml:space="preserve"> </w:t>
            </w:r>
            <w:r w:rsidR="00C60B1E">
              <w:t xml:space="preserve">amount </w:t>
            </w:r>
            <w:r>
              <w:t xml:space="preserve">of </w:t>
            </w:r>
            <w:r w:rsidR="00E06975">
              <w:t xml:space="preserve">state funding. </w:t>
            </w:r>
            <w:r w:rsidR="0009653B">
              <w:t xml:space="preserve">At a minimum, states must maintain some level of funding for CTE to remain in compliance with the law. </w:t>
            </w:r>
            <w:r w:rsidR="002A5EA2">
              <w:t>Beyond that, s</w:t>
            </w:r>
            <w:r w:rsidR="00E06975">
              <w:t xml:space="preserve">tates may use standards development and adoption processes and funds (see below), </w:t>
            </w:r>
            <w:r w:rsidR="001E7D97">
              <w:t>general</w:t>
            </w:r>
            <w:r w:rsidR="009B7F7C">
              <w:t xml:space="preserve"> funds</w:t>
            </w:r>
            <w:r w:rsidR="001E7D97">
              <w:t xml:space="preserve"> </w:t>
            </w:r>
            <w:r w:rsidR="00E06975">
              <w:t>or incentive grants</w:t>
            </w:r>
            <w:r w:rsidR="009B7F7C">
              <w:t xml:space="preserve"> – supported by funds outside of Perkins – to support and advance programs of study. </w:t>
            </w:r>
          </w:p>
          <w:p w14:paraId="0AA6E9D4" w14:textId="77777777" w:rsidR="002A1323" w:rsidRDefault="002A1323" w:rsidP="00771A01"/>
          <w:p w14:paraId="406526C8" w14:textId="054350D7" w:rsidR="002A1323" w:rsidRPr="00EE319E" w:rsidRDefault="00BC4826" w:rsidP="00BF67C8">
            <w:pPr>
              <w:spacing w:after="120"/>
            </w:pPr>
            <w:r>
              <w:t>Finally, a</w:t>
            </w:r>
            <w:r w:rsidR="00644025">
              <w:t>ccountability</w:t>
            </w:r>
            <w:r w:rsidR="00B91994">
              <w:t xml:space="preserve"> through the Every Student Succeeds Act (ESSA) is</w:t>
            </w:r>
            <w:r w:rsidR="00644025">
              <w:t xml:space="preserve"> another lever </w:t>
            </w:r>
            <w:r>
              <w:t>states can now use to support programs of study. While 35 states some include career-focused indicator in their accountability system, about</w:t>
            </w:r>
            <w:r w:rsidR="002F53F7">
              <w:t xml:space="preserve"> a third of those states explicitly include completion of a CTE program in their ESSA plan. While some states use generic language </w:t>
            </w:r>
            <w:r w:rsidR="00614685">
              <w:t xml:space="preserve">– </w:t>
            </w:r>
            <w:r w:rsidR="002F53F7">
              <w:t xml:space="preserve">completion of a CTE program – others, like Delaware and West Virginia, specifically require the completion of </w:t>
            </w:r>
            <w:r w:rsidR="00614685">
              <w:t xml:space="preserve">a </w:t>
            </w:r>
            <w:r w:rsidR="002F53F7">
              <w:t>“state-approved” program of study.</w:t>
            </w:r>
            <w:r w:rsidR="002F53F7">
              <w:rPr>
                <w:rStyle w:val="FootnoteReference"/>
              </w:rPr>
              <w:footnoteReference w:id="2"/>
            </w:r>
            <w:r w:rsidR="002F53F7">
              <w:t xml:space="preserve"> This provision opens up Title I funds and other opportunities to support programs of study.</w:t>
            </w:r>
          </w:p>
        </w:tc>
      </w:tr>
      <w:tr w:rsidR="00F86111" w14:paraId="52CA1A47" w14:textId="77777777" w:rsidTr="00421367">
        <w:trPr>
          <w:trHeight w:val="609"/>
        </w:trPr>
        <w:tc>
          <w:tcPr>
            <w:tcW w:w="1710" w:type="dxa"/>
            <w:shd w:val="clear" w:color="auto" w:fill="D5FCFF"/>
            <w:tcMar>
              <w:top w:w="72" w:type="dxa"/>
              <w:left w:w="115" w:type="dxa"/>
              <w:right w:w="115" w:type="dxa"/>
            </w:tcMar>
          </w:tcPr>
          <w:p w14:paraId="6D1C053E" w14:textId="77777777" w:rsidR="00F86111" w:rsidRPr="006169A9" w:rsidRDefault="003814D1" w:rsidP="003E6168">
            <w:pPr>
              <w:rPr>
                <w:b/>
              </w:rPr>
            </w:pPr>
            <w:r>
              <w:rPr>
                <w:b/>
              </w:rPr>
              <w:t>State Examples</w:t>
            </w:r>
          </w:p>
        </w:tc>
        <w:tc>
          <w:tcPr>
            <w:tcW w:w="7758" w:type="dxa"/>
            <w:shd w:val="clear" w:color="auto" w:fill="D5FCFF"/>
            <w:tcMar>
              <w:top w:w="72" w:type="dxa"/>
              <w:left w:w="115" w:type="dxa"/>
              <w:right w:w="115" w:type="dxa"/>
            </w:tcMar>
          </w:tcPr>
          <w:p w14:paraId="67021834" w14:textId="125A6E20" w:rsidR="00F86111" w:rsidRDefault="003814D1" w:rsidP="003814D1">
            <w:r w:rsidRPr="003814D1">
              <w:rPr>
                <w:b/>
              </w:rPr>
              <w:t>Montana</w:t>
            </w:r>
            <w:r>
              <w:t xml:space="preserve"> received a federal </w:t>
            </w:r>
            <w:hyperlink r:id="rId22" w:history="1">
              <w:r w:rsidRPr="00B91994">
                <w:rPr>
                  <w:rStyle w:val="Hyperlink"/>
                </w:rPr>
                <w:t>Rigorous Program of Study</w:t>
              </w:r>
            </w:hyperlink>
            <w:r>
              <w:t xml:space="preserve"> grant in </w:t>
            </w:r>
            <w:r w:rsidR="00606BD0" w:rsidRPr="007A798E">
              <w:t>20</w:t>
            </w:r>
            <w:r w:rsidR="00B91994">
              <w:t>09</w:t>
            </w:r>
            <w:r>
              <w:t xml:space="preserve">, which it used to develop voluntary “Big Sky Pathways” jointly across secondary </w:t>
            </w:r>
            <w:r w:rsidR="00B91994">
              <w:t xml:space="preserve">schools </w:t>
            </w:r>
            <w:r>
              <w:t xml:space="preserve">and postsecondary </w:t>
            </w:r>
            <w:r w:rsidR="00B91994">
              <w:t>institutions</w:t>
            </w:r>
            <w:r>
              <w:t xml:space="preserve">. The state used </w:t>
            </w:r>
            <w:r w:rsidR="00B91994">
              <w:t xml:space="preserve">its </w:t>
            </w:r>
            <w:hyperlink r:id="rId23" w:history="1">
              <w:r w:rsidR="00B91994" w:rsidRPr="00B91994">
                <w:rPr>
                  <w:rStyle w:val="Hyperlink"/>
                </w:rPr>
                <w:t xml:space="preserve">Perkins </w:t>
              </w:r>
              <w:r w:rsidRPr="00B91994">
                <w:rPr>
                  <w:rStyle w:val="Hyperlink"/>
                </w:rPr>
                <w:t>Reserve Fund</w:t>
              </w:r>
            </w:hyperlink>
            <w:r>
              <w:t xml:space="preserve"> to supplement and sustain this work after the grant ended. Based on lessons learned from this initiative, Montana just changed its program approval policy to make programs of study (or “pathways”) the new minimum for all state-approved programs. </w:t>
            </w:r>
          </w:p>
          <w:p w14:paraId="56676652" w14:textId="77777777" w:rsidR="003814D1" w:rsidRDefault="003814D1" w:rsidP="003814D1"/>
          <w:p w14:paraId="4A0B9AA1" w14:textId="1423933E" w:rsidR="007A798E" w:rsidRDefault="00D15A86" w:rsidP="001E7D97">
            <w:r>
              <w:t xml:space="preserve">The </w:t>
            </w:r>
            <w:r w:rsidRPr="009B7F7C">
              <w:rPr>
                <w:b/>
              </w:rPr>
              <w:t>Kentucky</w:t>
            </w:r>
            <w:r>
              <w:t xml:space="preserve"> Department of Education and Council on Postsecondary Education, with support from the state legislature, issued a request for applications in 2017 to local districts to develop or scale Energy Tech Career Pathways, an emerging</w:t>
            </w:r>
            <w:r w:rsidR="00BC4826">
              <w:t xml:space="preserve"> sector in the state. While these</w:t>
            </w:r>
            <w:r w:rsidR="002F53F7">
              <w:t xml:space="preserve"> are for middle and high school-</w:t>
            </w:r>
            <w:r w:rsidR="00BC4826">
              <w:t xml:space="preserve">located programs, they are expected to have agreements in place with postsecondary institutions. </w:t>
            </w:r>
          </w:p>
          <w:p w14:paraId="72B1EA66" w14:textId="728E5400" w:rsidR="00BC4826" w:rsidRPr="00BC4826" w:rsidRDefault="00934C08" w:rsidP="001E7D97">
            <w:pPr>
              <w:rPr>
                <w:highlight w:val="yellow"/>
              </w:rPr>
            </w:pPr>
            <w:hyperlink r:id="rId24" w:history="1">
              <w:r w:rsidR="00BC4826" w:rsidRPr="00BC4826">
                <w:rPr>
                  <w:rStyle w:val="Hyperlink"/>
                </w:rPr>
                <w:t>Link</w:t>
              </w:r>
            </w:hyperlink>
          </w:p>
          <w:p w14:paraId="0E51EF9A" w14:textId="77777777" w:rsidR="001E7D97" w:rsidRDefault="001E7D97" w:rsidP="001E7D97"/>
          <w:p w14:paraId="60EE6B6F" w14:textId="553E7893" w:rsidR="002F53F7" w:rsidRDefault="002F53F7" w:rsidP="002F53F7">
            <w:r w:rsidRPr="00614685">
              <w:rPr>
                <w:b/>
              </w:rPr>
              <w:t>Rhode</w:t>
            </w:r>
            <w:r w:rsidR="00BC4826" w:rsidRPr="00614685">
              <w:rPr>
                <w:b/>
              </w:rPr>
              <w:t xml:space="preserve"> </w:t>
            </w:r>
            <w:r w:rsidR="00614685" w:rsidRPr="00614685">
              <w:rPr>
                <w:b/>
              </w:rPr>
              <w:t>Island</w:t>
            </w:r>
            <w:r w:rsidR="00614685">
              <w:t xml:space="preserve"> </w:t>
            </w:r>
            <w:r w:rsidR="00BC4826" w:rsidRPr="002F53F7">
              <w:t xml:space="preserve">plans to distribute 50 percent of its Title I school improvement funds through competitive grants to </w:t>
            </w:r>
            <w:r w:rsidR="00645B9D">
              <w:t>local education agencies (LEA)</w:t>
            </w:r>
            <w:r w:rsidR="00BC4826" w:rsidRPr="002F53F7">
              <w:t>. One such grant, the School Im</w:t>
            </w:r>
            <w:r w:rsidR="00645B9D">
              <w:t>provement Innovation Grant</w:t>
            </w:r>
            <w:r w:rsidR="00BC4826" w:rsidRPr="002F53F7">
              <w:t>, is</w:t>
            </w:r>
            <w:r w:rsidR="00645B9D">
              <w:t xml:space="preserve"> being</w:t>
            </w:r>
            <w:r w:rsidR="00BC4826" w:rsidRPr="002F53F7">
              <w:t xml:space="preserve"> designed to help LEAs increase student access to </w:t>
            </w:r>
            <w:r>
              <w:t xml:space="preserve">CTE </w:t>
            </w:r>
            <w:r w:rsidR="00BC4826" w:rsidRPr="002F53F7">
              <w:t xml:space="preserve">pathways and </w:t>
            </w:r>
            <w:r>
              <w:t xml:space="preserve">other </w:t>
            </w:r>
            <w:r w:rsidR="00BC4826" w:rsidRPr="002F53F7">
              <w:t xml:space="preserve">learning opportunities that prepare </w:t>
            </w:r>
            <w:r w:rsidR="009B2041">
              <w:t>learners</w:t>
            </w:r>
            <w:r w:rsidR="00BC4826" w:rsidRPr="002F53F7">
              <w:t xml:space="preserve"> for college and career success. </w:t>
            </w:r>
          </w:p>
          <w:p w14:paraId="43959058" w14:textId="77777777" w:rsidR="001E7D97" w:rsidRDefault="00934C08" w:rsidP="001E7D97">
            <w:pPr>
              <w:rPr>
                <w:rStyle w:val="Hyperlink"/>
              </w:rPr>
            </w:pPr>
            <w:hyperlink r:id="rId25" w:history="1">
              <w:r w:rsidR="002F53F7" w:rsidRPr="002F53F7">
                <w:rPr>
                  <w:rStyle w:val="Hyperlink"/>
                </w:rPr>
                <w:t>Link</w:t>
              </w:r>
            </w:hyperlink>
          </w:p>
          <w:p w14:paraId="3B8D1931" w14:textId="77777777" w:rsidR="00D55DBF" w:rsidRDefault="00D55DBF" w:rsidP="001E7D97">
            <w:pPr>
              <w:rPr>
                <w:rStyle w:val="Hyperlink"/>
              </w:rPr>
            </w:pPr>
          </w:p>
          <w:p w14:paraId="2CEED9BD" w14:textId="77777777" w:rsidR="00D55DBF" w:rsidRDefault="00D55DBF" w:rsidP="00D55DBF">
            <w:r>
              <w:t xml:space="preserve">The </w:t>
            </w:r>
            <w:r w:rsidRPr="00D55DBF">
              <w:rPr>
                <w:b/>
              </w:rPr>
              <w:t>California</w:t>
            </w:r>
            <w:r>
              <w:t xml:space="preserve"> Career Pathways Trust is an investment from the state legislature to incentivize the development of cross-system pathways, spanning K-12 through community colleges. </w:t>
            </w:r>
          </w:p>
          <w:p w14:paraId="78619626" w14:textId="0C33241C" w:rsidR="00D55DBF" w:rsidRPr="00D55DBF" w:rsidRDefault="00934C08" w:rsidP="00BF67C8">
            <w:pPr>
              <w:spacing w:after="120"/>
            </w:pPr>
            <w:hyperlink r:id="rId26" w:history="1">
              <w:r w:rsidR="00D55DBF" w:rsidRPr="00D55DBF">
                <w:rPr>
                  <w:rStyle w:val="Hyperlink"/>
                </w:rPr>
                <w:t>Link</w:t>
              </w:r>
            </w:hyperlink>
          </w:p>
        </w:tc>
      </w:tr>
    </w:tbl>
    <w:p w14:paraId="2E5EF3FB" w14:textId="201EAA83" w:rsidR="00F86111" w:rsidRDefault="007A2072" w:rsidP="007A2072">
      <w:pPr>
        <w:tabs>
          <w:tab w:val="left" w:pos="971"/>
        </w:tabs>
      </w:pPr>
      <w:r>
        <w:lastRenderedPageBreak/>
        <w:tab/>
      </w:r>
    </w:p>
    <w:p w14:paraId="0BC2A407" w14:textId="77777777" w:rsidR="007A2072" w:rsidRPr="002A6387" w:rsidRDefault="007A2072" w:rsidP="007A2072">
      <w:pPr>
        <w:pStyle w:val="Heading3"/>
        <w:rPr>
          <w:b/>
        </w:rPr>
      </w:pPr>
      <w:bookmarkStart w:id="19" w:name="_Toc504573059"/>
      <w:r w:rsidRPr="002A6387">
        <w:rPr>
          <w:b/>
        </w:rPr>
        <w:t xml:space="preserve">Key Questions: </w:t>
      </w:r>
      <w:r>
        <w:rPr>
          <w:b/>
        </w:rPr>
        <w:t>Program of Study Funding</w:t>
      </w:r>
      <w:bookmarkEnd w:id="19"/>
    </w:p>
    <w:p w14:paraId="451B4ABA" w14:textId="77777777" w:rsidR="007A2072" w:rsidRPr="007A2072" w:rsidRDefault="007A2072" w:rsidP="007A2072">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478" w:tblpY="170"/>
        <w:tblW w:w="9815" w:type="dxa"/>
        <w:tblLook w:val="04A0" w:firstRow="1" w:lastRow="0" w:firstColumn="1" w:lastColumn="0" w:noHBand="0" w:noVBand="1"/>
      </w:tblPr>
      <w:tblGrid>
        <w:gridCol w:w="1254"/>
        <w:gridCol w:w="3498"/>
        <w:gridCol w:w="5063"/>
      </w:tblGrid>
      <w:tr w:rsidR="007A798E" w:rsidRPr="006169A9" w14:paraId="4FA99806" w14:textId="77777777">
        <w:trPr>
          <w:trHeight w:val="170"/>
          <w:tblHeader/>
        </w:trPr>
        <w:tc>
          <w:tcPr>
            <w:tcW w:w="1254" w:type="dxa"/>
            <w:shd w:val="clear" w:color="auto" w:fill="F2F2F2" w:themeFill="background1" w:themeFillShade="F2"/>
            <w:tcMar>
              <w:top w:w="72" w:type="dxa"/>
              <w:left w:w="115" w:type="dxa"/>
              <w:right w:w="115" w:type="dxa"/>
            </w:tcMar>
            <w:vAlign w:val="center"/>
          </w:tcPr>
          <w:p w14:paraId="430EA586" w14:textId="77777777" w:rsidR="00243ACA" w:rsidRPr="006169A9" w:rsidRDefault="00243ACA" w:rsidP="0073209B">
            <w:pPr>
              <w:pStyle w:val="Heading4"/>
              <w:outlineLvl w:val="3"/>
            </w:pPr>
            <w:r>
              <w:br w:type="page"/>
            </w:r>
          </w:p>
        </w:tc>
        <w:tc>
          <w:tcPr>
            <w:tcW w:w="3498" w:type="dxa"/>
            <w:shd w:val="clear" w:color="auto" w:fill="F2F2F2" w:themeFill="background1" w:themeFillShade="F2"/>
            <w:tcMar>
              <w:top w:w="72" w:type="dxa"/>
              <w:left w:w="115" w:type="dxa"/>
              <w:right w:w="115" w:type="dxa"/>
            </w:tcMar>
          </w:tcPr>
          <w:p w14:paraId="23F0EB5C" w14:textId="77777777" w:rsidR="00243ACA" w:rsidRPr="006169A9" w:rsidRDefault="00243ACA" w:rsidP="0073209B">
            <w:pPr>
              <w:jc w:val="center"/>
              <w:rPr>
                <w:b/>
                <w:i/>
                <w:sz w:val="24"/>
              </w:rPr>
            </w:pPr>
            <w:r>
              <w:rPr>
                <w:b/>
                <w:i/>
                <w:sz w:val="24"/>
              </w:rPr>
              <w:t>Key Questions</w:t>
            </w:r>
          </w:p>
        </w:tc>
        <w:tc>
          <w:tcPr>
            <w:tcW w:w="5063" w:type="dxa"/>
            <w:shd w:val="clear" w:color="auto" w:fill="F2F2F2" w:themeFill="background1" w:themeFillShade="F2"/>
            <w:tcMar>
              <w:top w:w="72" w:type="dxa"/>
              <w:left w:w="115" w:type="dxa"/>
              <w:right w:w="115" w:type="dxa"/>
            </w:tcMar>
          </w:tcPr>
          <w:p w14:paraId="6C81EE8D" w14:textId="77777777" w:rsidR="003E4F12" w:rsidRDefault="00606BD0" w:rsidP="007A798E">
            <w:pPr>
              <w:jc w:val="center"/>
            </w:pPr>
            <w:r w:rsidRPr="00606BD0">
              <w:rPr>
                <w:b/>
                <w:i/>
                <w:sz w:val="24"/>
              </w:rPr>
              <w:t>State Response</w:t>
            </w:r>
          </w:p>
        </w:tc>
      </w:tr>
      <w:tr w:rsidR="007A798E" w14:paraId="7A28D4D6" w14:textId="77777777">
        <w:trPr>
          <w:trHeight w:val="763"/>
          <w:tblHeader/>
        </w:trPr>
        <w:tc>
          <w:tcPr>
            <w:tcW w:w="1254" w:type="dxa"/>
            <w:vMerge w:val="restart"/>
            <w:tcMar>
              <w:top w:w="72" w:type="dxa"/>
              <w:left w:w="115" w:type="dxa"/>
              <w:right w:w="115" w:type="dxa"/>
            </w:tcMar>
            <w:vAlign w:val="center"/>
          </w:tcPr>
          <w:p w14:paraId="383A0150" w14:textId="7A020EC3" w:rsidR="003E4F12" w:rsidRDefault="007A798E" w:rsidP="007A798E">
            <w:r>
              <w:rPr>
                <w:b/>
                <w:i/>
                <w:sz w:val="24"/>
              </w:rPr>
              <w:t xml:space="preserve">Program of Study </w:t>
            </w:r>
            <w:r w:rsidR="00606BD0" w:rsidRPr="00606BD0">
              <w:rPr>
                <w:b/>
                <w:i/>
                <w:sz w:val="24"/>
              </w:rPr>
              <w:t>Funding</w:t>
            </w:r>
          </w:p>
        </w:tc>
        <w:tc>
          <w:tcPr>
            <w:tcW w:w="3498" w:type="dxa"/>
            <w:tcMar>
              <w:top w:w="72" w:type="dxa"/>
              <w:left w:w="115" w:type="dxa"/>
              <w:right w:w="115" w:type="dxa"/>
            </w:tcMar>
          </w:tcPr>
          <w:p w14:paraId="3189BCAC" w14:textId="22314A7C" w:rsidR="00243ACA" w:rsidRDefault="00614685" w:rsidP="002F53F7">
            <w:r>
              <w:t xml:space="preserve">Does your state use </w:t>
            </w:r>
            <w:r w:rsidR="001E7D97">
              <w:t xml:space="preserve">any funding incentives (using state or federal funds) </w:t>
            </w:r>
            <w:r>
              <w:t>to</w:t>
            </w:r>
            <w:r w:rsidR="001E7D97">
              <w:t xml:space="preserve"> support p</w:t>
            </w:r>
            <w:r w:rsidR="002F53F7">
              <w:t>rograms of study, such as:</w:t>
            </w:r>
          </w:p>
          <w:p w14:paraId="0B900C50" w14:textId="209776FA" w:rsidR="002F53F7" w:rsidRDefault="00614685" w:rsidP="002F53F7">
            <w:pPr>
              <w:pStyle w:val="ListParagraph"/>
              <w:numPr>
                <w:ilvl w:val="0"/>
                <w:numId w:val="30"/>
              </w:numPr>
              <w:spacing w:after="120"/>
            </w:pPr>
            <w:r>
              <w:t xml:space="preserve">Perkins </w:t>
            </w:r>
            <w:r w:rsidR="002F53F7">
              <w:t>Reserve funds?</w:t>
            </w:r>
          </w:p>
          <w:p w14:paraId="04FBA07C" w14:textId="12A44F60" w:rsidR="002F53F7" w:rsidRDefault="00614685" w:rsidP="002F53F7">
            <w:pPr>
              <w:pStyle w:val="ListParagraph"/>
              <w:numPr>
                <w:ilvl w:val="0"/>
                <w:numId w:val="30"/>
              </w:numPr>
              <w:spacing w:after="120"/>
            </w:pPr>
            <w:r>
              <w:t xml:space="preserve">Perkins </w:t>
            </w:r>
            <w:r w:rsidR="002F53F7">
              <w:t>State leadership funds?</w:t>
            </w:r>
          </w:p>
          <w:p w14:paraId="27A83C52" w14:textId="77777777" w:rsidR="002F53F7" w:rsidRDefault="002F53F7" w:rsidP="002F53F7">
            <w:pPr>
              <w:pStyle w:val="ListParagraph"/>
              <w:numPr>
                <w:ilvl w:val="0"/>
                <w:numId w:val="30"/>
              </w:numPr>
              <w:spacing w:after="120"/>
            </w:pPr>
            <w:r>
              <w:t>WIOA funds?</w:t>
            </w:r>
          </w:p>
          <w:p w14:paraId="24511974" w14:textId="24B8B173" w:rsidR="002F53F7" w:rsidRDefault="002F53F7" w:rsidP="0073209B">
            <w:pPr>
              <w:pStyle w:val="ListParagraph"/>
              <w:numPr>
                <w:ilvl w:val="0"/>
                <w:numId w:val="30"/>
              </w:numPr>
              <w:spacing w:after="120"/>
            </w:pPr>
            <w:r>
              <w:t>Legislatively provided funds?</w:t>
            </w:r>
          </w:p>
        </w:tc>
        <w:tc>
          <w:tcPr>
            <w:tcW w:w="5063" w:type="dxa"/>
            <w:tcMar>
              <w:top w:w="72" w:type="dxa"/>
              <w:left w:w="115" w:type="dxa"/>
              <w:right w:w="115" w:type="dxa"/>
            </w:tcMar>
          </w:tcPr>
          <w:p w14:paraId="564A443E" w14:textId="77777777" w:rsidR="00243ACA" w:rsidRDefault="00243ACA" w:rsidP="0073209B">
            <w:pPr>
              <w:pStyle w:val="Heading4"/>
              <w:outlineLvl w:val="3"/>
            </w:pPr>
          </w:p>
        </w:tc>
      </w:tr>
      <w:tr w:rsidR="007A798E" w14:paraId="73993D2B" w14:textId="77777777">
        <w:trPr>
          <w:trHeight w:val="1029"/>
          <w:tblHeader/>
        </w:trPr>
        <w:tc>
          <w:tcPr>
            <w:tcW w:w="1254" w:type="dxa"/>
            <w:vMerge/>
            <w:tcMar>
              <w:top w:w="72" w:type="dxa"/>
              <w:left w:w="115" w:type="dxa"/>
              <w:right w:w="115" w:type="dxa"/>
            </w:tcMar>
          </w:tcPr>
          <w:p w14:paraId="0B7A1F8A" w14:textId="1964B23F" w:rsidR="00243ACA" w:rsidRPr="006169A9" w:rsidRDefault="00243ACA" w:rsidP="0073209B">
            <w:pPr>
              <w:pStyle w:val="Heading4"/>
              <w:outlineLvl w:val="3"/>
            </w:pPr>
          </w:p>
        </w:tc>
        <w:tc>
          <w:tcPr>
            <w:tcW w:w="3498" w:type="dxa"/>
            <w:tcMar>
              <w:top w:w="72" w:type="dxa"/>
              <w:left w:w="115" w:type="dxa"/>
              <w:right w:w="115" w:type="dxa"/>
            </w:tcMar>
          </w:tcPr>
          <w:p w14:paraId="6718A61B" w14:textId="6A5FC184" w:rsidR="00243ACA" w:rsidRPr="00C501C0" w:rsidRDefault="002F53F7" w:rsidP="002F53F7">
            <w:pPr>
              <w:spacing w:after="120"/>
            </w:pPr>
            <w:r>
              <w:t xml:space="preserve">Which funding streams provide sustainability for programs of study? Which provide opportunities for innovation? </w:t>
            </w:r>
          </w:p>
        </w:tc>
        <w:tc>
          <w:tcPr>
            <w:tcW w:w="5063" w:type="dxa"/>
            <w:tcMar>
              <w:top w:w="72" w:type="dxa"/>
              <w:left w:w="115" w:type="dxa"/>
              <w:right w:w="115" w:type="dxa"/>
            </w:tcMar>
          </w:tcPr>
          <w:p w14:paraId="37A943C2" w14:textId="77777777" w:rsidR="00243ACA" w:rsidRDefault="00243ACA" w:rsidP="0073209B">
            <w:pPr>
              <w:pStyle w:val="Heading4"/>
              <w:outlineLvl w:val="3"/>
            </w:pPr>
          </w:p>
        </w:tc>
      </w:tr>
      <w:tr w:rsidR="007A798E" w14:paraId="35A4DE92" w14:textId="77777777">
        <w:trPr>
          <w:trHeight w:val="1027"/>
          <w:tblHeader/>
        </w:trPr>
        <w:tc>
          <w:tcPr>
            <w:tcW w:w="1254" w:type="dxa"/>
            <w:vMerge/>
            <w:tcMar>
              <w:top w:w="72" w:type="dxa"/>
              <w:left w:w="115" w:type="dxa"/>
              <w:right w:w="115" w:type="dxa"/>
            </w:tcMar>
          </w:tcPr>
          <w:p w14:paraId="58CC96B3" w14:textId="77777777" w:rsidR="00243ACA" w:rsidRPr="006169A9" w:rsidRDefault="00243ACA" w:rsidP="0073209B">
            <w:pPr>
              <w:pStyle w:val="Heading4"/>
              <w:outlineLvl w:val="3"/>
            </w:pPr>
          </w:p>
        </w:tc>
        <w:tc>
          <w:tcPr>
            <w:tcW w:w="3498" w:type="dxa"/>
            <w:tcMar>
              <w:top w:w="72" w:type="dxa"/>
              <w:left w:w="115" w:type="dxa"/>
              <w:right w:w="115" w:type="dxa"/>
            </w:tcMar>
          </w:tcPr>
          <w:p w14:paraId="3BBE4970" w14:textId="2441098E" w:rsidR="00243ACA" w:rsidRPr="005C3E37" w:rsidRDefault="002F53F7" w:rsidP="0073209B">
            <w:pPr>
              <w:spacing w:after="120"/>
            </w:pPr>
            <w:r>
              <w:t xml:space="preserve">Are there any funds not currently being </w:t>
            </w:r>
            <w:r w:rsidR="00614685">
              <w:t>used</w:t>
            </w:r>
            <w:r>
              <w:t xml:space="preserve"> at the secondary and postsecondary level that can support the development and implementation of programs of study?</w:t>
            </w:r>
          </w:p>
        </w:tc>
        <w:tc>
          <w:tcPr>
            <w:tcW w:w="5063" w:type="dxa"/>
            <w:tcMar>
              <w:top w:w="72" w:type="dxa"/>
              <w:left w:w="115" w:type="dxa"/>
              <w:right w:w="115" w:type="dxa"/>
            </w:tcMar>
          </w:tcPr>
          <w:p w14:paraId="0E14238F" w14:textId="77777777" w:rsidR="00243ACA" w:rsidRDefault="00243ACA" w:rsidP="0073209B">
            <w:pPr>
              <w:pStyle w:val="Heading4"/>
              <w:outlineLvl w:val="3"/>
            </w:pPr>
          </w:p>
        </w:tc>
      </w:tr>
    </w:tbl>
    <w:p w14:paraId="6B607A38" w14:textId="77777777" w:rsidR="00D132A3" w:rsidRDefault="00D132A3" w:rsidP="00D132A3">
      <w:pPr>
        <w:pStyle w:val="Heading2"/>
        <w:rPr>
          <w:lang w:val="en-GB"/>
        </w:rPr>
        <w:sectPr w:rsidR="00D132A3">
          <w:headerReference w:type="default" r:id="rId27"/>
          <w:footerReference w:type="default" r:id="rId28"/>
          <w:pgSz w:w="12240" w:h="15840"/>
          <w:pgMar w:top="1440" w:right="1440" w:bottom="1440" w:left="1440" w:header="720" w:footer="720" w:gutter="0"/>
          <w:cols w:space="720"/>
          <w:titlePg/>
          <w:docGrid w:linePitch="360"/>
        </w:sectPr>
      </w:pPr>
    </w:p>
    <w:p w14:paraId="6712951B" w14:textId="77777777" w:rsidR="00D132A3" w:rsidRDefault="00D132A3" w:rsidP="00D132A3">
      <w:pPr>
        <w:pStyle w:val="Heading2"/>
        <w:rPr>
          <w:lang w:val="en-GB"/>
        </w:rPr>
        <w:sectPr w:rsidR="00D132A3" w:rsidSect="00D132A3">
          <w:type w:val="continuous"/>
          <w:pgSz w:w="12240" w:h="15840"/>
          <w:pgMar w:top="1440" w:right="1440" w:bottom="1440" w:left="1440" w:header="720" w:footer="720" w:gutter="0"/>
          <w:cols w:space="720"/>
          <w:titlePg/>
          <w:docGrid w:linePitch="360"/>
        </w:sectPr>
      </w:pPr>
    </w:p>
    <w:p w14:paraId="6EA826A0" w14:textId="77777777" w:rsidR="00645B9D" w:rsidRDefault="00645B9D" w:rsidP="00D132A3">
      <w:pPr>
        <w:pStyle w:val="Heading2"/>
        <w:rPr>
          <w:lang w:val="en-GB"/>
        </w:rPr>
      </w:pPr>
      <w:r>
        <w:rPr>
          <w:lang w:val="en-GB"/>
        </w:rPr>
        <w:lastRenderedPageBreak/>
        <w:br w:type="page"/>
      </w:r>
    </w:p>
    <w:p w14:paraId="7A0360DD" w14:textId="33697653" w:rsidR="00D132A3" w:rsidRDefault="00084B3A" w:rsidP="00D132A3">
      <w:pPr>
        <w:pStyle w:val="Heading2"/>
        <w:rPr>
          <w:lang w:val="en-GB"/>
        </w:rPr>
      </w:pPr>
      <w:bookmarkStart w:id="20" w:name="_Toc504573060"/>
      <w:r>
        <w:rPr>
          <w:lang w:val="en-GB"/>
        </w:rPr>
        <w:lastRenderedPageBreak/>
        <w:t xml:space="preserve">Section 2: Secondary &amp; </w:t>
      </w:r>
      <w:r w:rsidR="00D132A3">
        <w:rPr>
          <w:lang w:val="en-GB"/>
        </w:rPr>
        <w:t>Postsecondary Alignment</w:t>
      </w:r>
      <w:bookmarkEnd w:id="20"/>
    </w:p>
    <w:p w14:paraId="6E257B2F" w14:textId="77777777" w:rsidR="00A90374" w:rsidRDefault="00D132A3" w:rsidP="00D132A3">
      <w:pPr>
        <w:rPr>
          <w:lang w:val="en-GB"/>
        </w:rPr>
      </w:pPr>
      <w:r>
        <w:rPr>
          <w:lang w:val="en-GB"/>
        </w:rPr>
        <w:t xml:space="preserve">The intent of Perkins’ program of study requirement was </w:t>
      </w:r>
      <w:r w:rsidR="00614685">
        <w:rPr>
          <w:lang w:val="en-GB"/>
        </w:rPr>
        <w:t xml:space="preserve">to </w:t>
      </w:r>
      <w:r>
        <w:rPr>
          <w:lang w:val="en-GB"/>
        </w:rPr>
        <w:t xml:space="preserve">have states develop and approve programs that fully bridge secondary and postsecondary institutions and systems. This was in large part driven by the fact that the vast majority of good jobs require some education and training behind high school, requiring CTE programs of study to provide clear and seamless pathways into postsecondary. </w:t>
      </w:r>
    </w:p>
    <w:p w14:paraId="66FE9B17" w14:textId="77777777" w:rsidR="00A90374" w:rsidRDefault="00A90374" w:rsidP="00D132A3">
      <w:pPr>
        <w:rPr>
          <w:lang w:val="en-GB"/>
        </w:rPr>
      </w:pPr>
    </w:p>
    <w:p w14:paraId="6EA80082" w14:textId="6A44A86F" w:rsidR="00D132A3" w:rsidRDefault="00D132A3" w:rsidP="00D132A3">
      <w:pPr>
        <w:rPr>
          <w:lang w:val="en-GB"/>
        </w:rPr>
      </w:pPr>
      <w:r>
        <w:rPr>
          <w:lang w:val="en-GB"/>
        </w:rPr>
        <w:t>Unfortunately, too often states and local recipients often consider “secondary programs of study” and “postsecondary programs of stud</w:t>
      </w:r>
      <w:r w:rsidR="00A90374">
        <w:rPr>
          <w:lang w:val="en-GB"/>
        </w:rPr>
        <w:t>y</w:t>
      </w:r>
      <w:r>
        <w:rPr>
          <w:lang w:val="en-GB"/>
        </w:rPr>
        <w:t xml:space="preserve">” to be two different types of programs. From our perspective, any and all programs of study should be common across secondary AND postsecondary institutions and systems. </w:t>
      </w:r>
    </w:p>
    <w:p w14:paraId="3E286FBE" w14:textId="77777777" w:rsidR="00D132A3" w:rsidRDefault="00D132A3" w:rsidP="00D132A3">
      <w:pPr>
        <w:rPr>
          <w:lang w:val="en-GB"/>
        </w:rPr>
      </w:pPr>
    </w:p>
    <w:p w14:paraId="7CD51F01" w14:textId="77777777" w:rsidR="00D132A3" w:rsidRPr="007E2CFF" w:rsidRDefault="00D132A3" w:rsidP="00D132A3">
      <w:pPr>
        <w:pStyle w:val="Heading3"/>
        <w:rPr>
          <w:b/>
        </w:rPr>
      </w:pPr>
      <w:bookmarkStart w:id="21" w:name="_Toc504573061"/>
      <w:r w:rsidRPr="007E2CFF">
        <w:rPr>
          <w:b/>
        </w:rPr>
        <w:t>Program Design</w:t>
      </w:r>
      <w:bookmarkEnd w:id="21"/>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D132A3" w14:paraId="274627E9" w14:textId="77777777" w:rsidTr="00614685">
        <w:trPr>
          <w:trHeight w:val="49"/>
        </w:trPr>
        <w:tc>
          <w:tcPr>
            <w:tcW w:w="1710" w:type="dxa"/>
            <w:shd w:val="clear" w:color="auto" w:fill="F2F2F2" w:themeFill="background1" w:themeFillShade="F2"/>
            <w:tcMar>
              <w:top w:w="72" w:type="dxa"/>
              <w:left w:w="115" w:type="dxa"/>
              <w:right w:w="115" w:type="dxa"/>
            </w:tcMar>
          </w:tcPr>
          <w:p w14:paraId="17136825" w14:textId="77777777" w:rsidR="00D132A3" w:rsidRPr="006169A9" w:rsidRDefault="00D132A3" w:rsidP="002D301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5E8F13CE" w14:textId="7CE88ABA" w:rsidR="00D132A3" w:rsidRDefault="00D132A3" w:rsidP="002D3018">
            <w:pPr>
              <w:rPr>
                <w:lang w:val="en-GB"/>
              </w:rPr>
            </w:pPr>
            <w:r>
              <w:rPr>
                <w:lang w:val="en-GB"/>
              </w:rPr>
              <w:t>Despite Perkins’ intent, we know that it’s unfortunately all too rare for fully aligned programs of study to be offered at scale. While individual secondary programs of study may offer a dual enro</w:t>
            </w:r>
            <w:r w:rsidR="00A90374">
              <w:rPr>
                <w:lang w:val="en-GB"/>
              </w:rPr>
              <w:t>l</w:t>
            </w:r>
            <w:r>
              <w:rPr>
                <w:lang w:val="en-GB"/>
              </w:rPr>
              <w:t xml:space="preserve">lment opportunity or have an articulation agreement with a local postsecondary institution, that is different than building a system of fully aligned programs of study that offer seamless transitions consistently and at scale. </w:t>
            </w:r>
          </w:p>
          <w:p w14:paraId="31F7A0CD" w14:textId="77777777" w:rsidR="00D132A3" w:rsidRDefault="00D132A3" w:rsidP="002D3018">
            <w:pPr>
              <w:rPr>
                <w:lang w:val="en-GB"/>
              </w:rPr>
            </w:pPr>
          </w:p>
          <w:p w14:paraId="33A46B05" w14:textId="623F0605" w:rsidR="004726FB" w:rsidRDefault="00042E84" w:rsidP="002D3018">
            <w:pPr>
              <w:rPr>
                <w:lang w:val="en-GB"/>
              </w:rPr>
            </w:pPr>
            <w:r>
              <w:rPr>
                <w:noProof/>
              </w:rPr>
              <mc:AlternateContent>
                <mc:Choice Requires="wps">
                  <w:drawing>
                    <wp:anchor distT="0" distB="0" distL="114300" distR="114300" simplePos="0" relativeHeight="251663360" behindDoc="1" locked="0" layoutInCell="1" allowOverlap="1" wp14:anchorId="66BACAF8" wp14:editId="16635A03">
                      <wp:simplePos x="0" y="0"/>
                      <wp:positionH relativeFrom="column">
                        <wp:posOffset>-38735</wp:posOffset>
                      </wp:positionH>
                      <wp:positionV relativeFrom="paragraph">
                        <wp:posOffset>1455851</wp:posOffset>
                      </wp:positionV>
                      <wp:extent cx="4791456" cy="1865376"/>
                      <wp:effectExtent l="0" t="0" r="28575" b="20955"/>
                      <wp:wrapTight wrapText="bothSides">
                        <wp:wrapPolygon edited="0">
                          <wp:start x="0" y="0"/>
                          <wp:lineTo x="0" y="21622"/>
                          <wp:lineTo x="21643" y="21622"/>
                          <wp:lineTo x="21643"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456" cy="1865376"/>
                              </a:xfrm>
                              <a:prstGeom prst="rect">
                                <a:avLst/>
                              </a:prstGeom>
                              <a:solidFill>
                                <a:srgbClr val="FFFFFF"/>
                              </a:solidFill>
                              <a:ln w="9525">
                                <a:solidFill>
                                  <a:srgbClr val="000000"/>
                                </a:solidFill>
                                <a:miter lim="800000"/>
                                <a:headEnd/>
                                <a:tailEnd/>
                              </a:ln>
                            </wps:spPr>
                            <wps:txbx>
                              <w:txbxContent>
                                <w:p w14:paraId="37E1F822" w14:textId="77777777" w:rsidR="0050650A" w:rsidRDefault="0050650A" w:rsidP="00D132A3">
                                  <w:r w:rsidRPr="00835724">
                                    <w:rPr>
                                      <w:noProof/>
                                    </w:rPr>
                                    <w:drawing>
                                      <wp:inline distT="0" distB="0" distL="0" distR="0" wp14:anchorId="72F8FC2D" wp14:editId="3472EE7F">
                                        <wp:extent cx="4371975" cy="17621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ACAF8" id="_x0000_s1028" type="#_x0000_t202" style="position:absolute;margin-left:-3.05pt;margin-top:114.65pt;width:377.3pt;height:14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">
                      <v:textbox>
                        <w:txbxContent>
                          <w:p w14:paraId="37E1F822" w14:textId="77777777" w:rsidR="0050650A" w:rsidRDefault="0050650A" w:rsidP="00D132A3">
                            <w:r w:rsidRPr="00835724">
                              <w:rPr>
                                <w:noProof/>
                              </w:rPr>
                              <w:drawing>
                                <wp:inline distT="0" distB="0" distL="0" distR="0" wp14:anchorId="72F8FC2D" wp14:editId="3472EE7F">
                                  <wp:extent cx="4371975" cy="17621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w10:wrap type="tight"/>
                    </v:shape>
                  </w:pict>
                </mc:Fallback>
              </mc:AlternateContent>
            </w:r>
            <w:r w:rsidR="00D132A3">
              <w:rPr>
                <w:lang w:val="en-GB"/>
              </w:rPr>
              <w:t>In the 2017 Perkins survey, half of states report that a</w:t>
            </w:r>
            <w:r w:rsidR="00A90374">
              <w:rPr>
                <w:lang w:val="en-GB"/>
              </w:rPr>
              <w:t>t</w:t>
            </w:r>
            <w:r w:rsidR="00D132A3">
              <w:rPr>
                <w:lang w:val="en-GB"/>
              </w:rPr>
              <w:t xml:space="preserve"> least 76 percent of their programs of study are fully aligned across secondary and postsecondary systems.</w:t>
            </w:r>
            <w:r w:rsidR="004726FB">
              <w:rPr>
                <w:lang w:val="en-GB"/>
              </w:rPr>
              <w:t xml:space="preserve"> Conversely, while 13 states reported that all of their state-approved programs of study are aligned across secondary and postsecondary, only five of those states reported that 100 percent of their local Perkins funds are required for secondary-postsecondary programs of study.</w:t>
            </w:r>
            <w:r>
              <w:rPr>
                <w:lang w:val="en-GB"/>
              </w:rPr>
              <w:t xml:space="preserve"> This disparity indicates that the number of fully aligned programs of study continues to take a lot of forms in the remaining 45 states.</w:t>
            </w:r>
          </w:p>
          <w:p w14:paraId="2B71BFC3" w14:textId="51F06C0B" w:rsidR="00D132A3" w:rsidRDefault="004726FB" w:rsidP="002D3018">
            <w:pPr>
              <w:rPr>
                <w:lang w:val="en-GB"/>
              </w:rPr>
            </w:pPr>
            <w:r>
              <w:rPr>
                <w:lang w:val="en-GB"/>
              </w:rPr>
              <w:t>Y</w:t>
            </w:r>
            <w:r w:rsidR="00D132A3">
              <w:rPr>
                <w:lang w:val="en-GB"/>
              </w:rPr>
              <w:t>ou can support stronger K-12 and postsecondary alignment in the design and development of programs of study</w:t>
            </w:r>
            <w:r>
              <w:rPr>
                <w:lang w:val="en-GB"/>
              </w:rPr>
              <w:t xml:space="preserve"> in myriad ways.</w:t>
            </w:r>
            <w:r w:rsidR="00042E84">
              <w:rPr>
                <w:lang w:val="en-GB"/>
              </w:rPr>
              <w:t xml:space="preserve"> </w:t>
            </w:r>
            <w:r w:rsidR="00D132A3">
              <w:rPr>
                <w:lang w:val="en-GB"/>
              </w:rPr>
              <w:t xml:space="preserve">For </w:t>
            </w:r>
            <w:r>
              <w:rPr>
                <w:lang w:val="en-GB"/>
              </w:rPr>
              <w:t>example</w:t>
            </w:r>
            <w:r w:rsidR="00D132A3">
              <w:rPr>
                <w:lang w:val="en-GB"/>
              </w:rPr>
              <w:t xml:space="preserve">, you can leverage regional models or consortia, as discussed in Module 1. Or, if you do not </w:t>
            </w:r>
            <w:r w:rsidR="00042E84">
              <w:rPr>
                <w:lang w:val="en-GB"/>
              </w:rPr>
              <w:t>require</w:t>
            </w:r>
            <w:r w:rsidR="00D132A3">
              <w:rPr>
                <w:lang w:val="en-GB"/>
              </w:rPr>
              <w:t xml:space="preserve"> regions or consortia, you can prioritize such activities and alignment in your local plans. </w:t>
            </w:r>
          </w:p>
          <w:p w14:paraId="45D67288" w14:textId="77777777" w:rsidR="00D132A3" w:rsidRDefault="00D132A3" w:rsidP="002D3018">
            <w:pPr>
              <w:rPr>
                <w:lang w:val="en-GB"/>
              </w:rPr>
            </w:pPr>
          </w:p>
          <w:p w14:paraId="4EF4AB50" w14:textId="77777777" w:rsidR="00D132A3" w:rsidRPr="00F071BE" w:rsidRDefault="00D132A3" w:rsidP="002D3018">
            <w:r>
              <w:rPr>
                <w:lang w:val="en-GB"/>
              </w:rPr>
              <w:t>Another option is to direct Perkins state leadership funds. As of 2017, 42 states spend leadership funds to e</w:t>
            </w:r>
            <w:r>
              <w:t>stablish</w:t>
            </w:r>
            <w:r w:rsidRPr="00D47E94">
              <w:t xml:space="preserve"> agreements between secondary and </w:t>
            </w:r>
            <w:r w:rsidRPr="00D47E94">
              <w:lastRenderedPageBreak/>
              <w:t>postsecondary CTE programs</w:t>
            </w:r>
            <w:r>
              <w:t xml:space="preserve"> (but only three states identify that strategy as one of the top three uses of these funds).  Eighteen states use leadership funds to support</w:t>
            </w:r>
            <w:r w:rsidRPr="00D47E94">
              <w:t xml:space="preserve"> initiatives that facilitate student transitions from sub</w:t>
            </w:r>
            <w:r>
              <w:t>-</w:t>
            </w:r>
            <w:r w:rsidRPr="00D47E94">
              <w:t>baccalaureate programs to</w:t>
            </w:r>
            <w:r>
              <w:t xml:space="preserve"> baccalaureate degree programs.</w:t>
            </w:r>
          </w:p>
          <w:p w14:paraId="1B5D0916" w14:textId="77777777" w:rsidR="00D132A3" w:rsidRDefault="00D132A3" w:rsidP="002D3018">
            <w:pPr>
              <w:rPr>
                <w:lang w:val="en-GB"/>
              </w:rPr>
            </w:pPr>
          </w:p>
          <w:p w14:paraId="5B324F7B" w14:textId="77777777" w:rsidR="00D132A3" w:rsidRDefault="00D132A3" w:rsidP="002D3018">
            <w:pPr>
              <w:rPr>
                <w:lang w:val="en-GB"/>
              </w:rPr>
            </w:pPr>
            <w:r>
              <w:rPr>
                <w:lang w:val="en-GB"/>
              </w:rPr>
              <w:t xml:space="preserve">If your state develops statewide programs of study, you can consider making those full 9-14 pathways (or even extend down to middle school and up through four-year programs) so that they include both secondary and postsecondary components from the beginning. </w:t>
            </w:r>
          </w:p>
          <w:p w14:paraId="34200E41" w14:textId="77777777" w:rsidR="00D132A3" w:rsidRDefault="00D132A3" w:rsidP="002D3018">
            <w:pPr>
              <w:rPr>
                <w:lang w:val="en-GB"/>
              </w:rPr>
            </w:pPr>
          </w:p>
          <w:p w14:paraId="57605FC0" w14:textId="7739C293" w:rsidR="00D132A3" w:rsidRPr="00ED384B" w:rsidRDefault="00D132A3" w:rsidP="00BF67C8">
            <w:pPr>
              <w:spacing w:after="120"/>
              <w:rPr>
                <w:lang w:val="en-GB"/>
              </w:rPr>
            </w:pPr>
            <w:r>
              <w:rPr>
                <w:lang w:val="en-GB"/>
              </w:rPr>
              <w:t>And, of course, your program approval policy can require that postsecondary and secondary each be involved in the design of pro</w:t>
            </w:r>
            <w:r w:rsidR="00BF67C8">
              <w:rPr>
                <w:lang w:val="en-GB"/>
              </w:rPr>
              <w:t xml:space="preserve">grams of study at both levels. </w:t>
            </w:r>
          </w:p>
        </w:tc>
      </w:tr>
      <w:tr w:rsidR="00D132A3" w14:paraId="53690019" w14:textId="77777777" w:rsidTr="00614685">
        <w:trPr>
          <w:trHeight w:val="609"/>
        </w:trPr>
        <w:tc>
          <w:tcPr>
            <w:tcW w:w="1710" w:type="dxa"/>
            <w:shd w:val="clear" w:color="auto" w:fill="D5FCFF"/>
            <w:tcMar>
              <w:top w:w="72" w:type="dxa"/>
              <w:left w:w="115" w:type="dxa"/>
              <w:right w:w="115" w:type="dxa"/>
            </w:tcMar>
          </w:tcPr>
          <w:p w14:paraId="4975E358" w14:textId="77777777" w:rsidR="00D132A3" w:rsidRPr="006169A9" w:rsidRDefault="00D132A3" w:rsidP="002D3018">
            <w:pPr>
              <w:rPr>
                <w:b/>
              </w:rPr>
            </w:pPr>
            <w:r>
              <w:rPr>
                <w:b/>
              </w:rPr>
              <w:lastRenderedPageBreak/>
              <w:t xml:space="preserve">State Examples </w:t>
            </w:r>
          </w:p>
        </w:tc>
        <w:tc>
          <w:tcPr>
            <w:tcW w:w="7758" w:type="dxa"/>
            <w:shd w:val="clear" w:color="auto" w:fill="D5FCFF"/>
            <w:tcMar>
              <w:top w:w="72" w:type="dxa"/>
              <w:left w:w="115" w:type="dxa"/>
              <w:right w:w="115" w:type="dxa"/>
            </w:tcMar>
          </w:tcPr>
          <w:p w14:paraId="4A9F8EAB" w14:textId="0AF25FC4" w:rsidR="00D132A3" w:rsidRDefault="00D132A3" w:rsidP="002D3018">
            <w:r>
              <w:t xml:space="preserve">In </w:t>
            </w:r>
            <w:r w:rsidRPr="00243EA2">
              <w:rPr>
                <w:b/>
              </w:rPr>
              <w:t>Oregon</w:t>
            </w:r>
            <w:r>
              <w:t xml:space="preserve">, the statewide CTE standards (known as Skill Sets) are </w:t>
            </w:r>
            <w:r w:rsidR="00042E84">
              <w:t>applied</w:t>
            </w:r>
            <w:r>
              <w:t xml:space="preserve"> simultaneously to the secondary component and postsecondary component of a program of study.</w:t>
            </w:r>
            <w:r w:rsidR="009328FE">
              <w:t xml:space="preserve"> The state provides </w:t>
            </w:r>
            <w:hyperlink r:id="rId31" w:history="1">
              <w:r w:rsidR="009328FE" w:rsidRPr="009328FE">
                <w:rPr>
                  <w:rStyle w:val="Hyperlink"/>
                </w:rPr>
                <w:t>crosswalk templates</w:t>
              </w:r>
            </w:hyperlink>
            <w:r w:rsidR="009328FE">
              <w:t xml:space="preserve"> for high schools and community colleges to jointly complete to map the Skills Sets to the courses. </w:t>
            </w:r>
          </w:p>
          <w:p w14:paraId="4433C1B9" w14:textId="305A55BD" w:rsidR="00042E84" w:rsidRDefault="00934C08" w:rsidP="002D3018">
            <w:hyperlink r:id="rId32" w:history="1">
              <w:r w:rsidR="00042E84" w:rsidRPr="00042E84">
                <w:rPr>
                  <w:rStyle w:val="Hyperlink"/>
                </w:rPr>
                <w:t>Link</w:t>
              </w:r>
            </w:hyperlink>
          </w:p>
          <w:p w14:paraId="66311EF2" w14:textId="77777777" w:rsidR="00D132A3" w:rsidRDefault="00D132A3" w:rsidP="002D3018"/>
          <w:p w14:paraId="6CFB63F5" w14:textId="13B745EC" w:rsidR="00D132A3" w:rsidRDefault="00D132A3" w:rsidP="002D3018">
            <w:r w:rsidRPr="00B246DE">
              <w:rPr>
                <w:b/>
              </w:rPr>
              <w:t>Minnesota</w:t>
            </w:r>
            <w:r w:rsidR="007C2EC5">
              <w:t xml:space="preserve"> has 26 geographically organized </w:t>
            </w:r>
            <w:r>
              <w:t xml:space="preserve">consortia </w:t>
            </w:r>
            <w:r w:rsidR="007C2EC5">
              <w:t>of secondary and postsecondary institutions, which develop joint local plans to ensure alignment and collaboration. All Perkins funds are directed to these consortia.</w:t>
            </w:r>
          </w:p>
          <w:p w14:paraId="6534B387" w14:textId="486B19C7" w:rsidR="007C2EC5" w:rsidRDefault="00934C08" w:rsidP="002D3018">
            <w:pPr>
              <w:rPr>
                <w:rStyle w:val="Hyperlink"/>
              </w:rPr>
            </w:pPr>
            <w:hyperlink r:id="rId33" w:history="1">
              <w:r w:rsidR="007C2EC5" w:rsidRPr="007C2EC5">
                <w:rPr>
                  <w:rStyle w:val="Hyperlink"/>
                </w:rPr>
                <w:t>Link (page 4)</w:t>
              </w:r>
            </w:hyperlink>
          </w:p>
          <w:p w14:paraId="4FC8B6B7" w14:textId="48338970" w:rsidR="001B4BDE" w:rsidRDefault="001B4BDE" w:rsidP="002D3018"/>
          <w:p w14:paraId="545CA7F6" w14:textId="77777777" w:rsidR="001B4BDE" w:rsidRDefault="001B4BDE" w:rsidP="001B4BDE">
            <w:r w:rsidRPr="00F90ED3">
              <w:rPr>
                <w:b/>
              </w:rPr>
              <w:t>North Carolina</w:t>
            </w:r>
            <w:r>
              <w:t xml:space="preserve"> created a competitive grant, with incentive funding to “catalyze pathway implementation and increase positive outcomes for individuals and employers through increased investment in promising pathway practices,” with an expectation that the grant funds would be focused on outcomes not process.</w:t>
            </w:r>
          </w:p>
          <w:p w14:paraId="7E9C7608" w14:textId="4AD311E8" w:rsidR="00D132A3" w:rsidRDefault="00934C08" w:rsidP="00BF67C8">
            <w:pPr>
              <w:spacing w:after="120"/>
            </w:pPr>
            <w:hyperlink r:id="rId34" w:history="1">
              <w:r w:rsidR="001B4BDE" w:rsidRPr="00F25FFC">
                <w:rPr>
                  <w:rStyle w:val="Hyperlink"/>
                </w:rPr>
                <w:t>Link</w:t>
              </w:r>
            </w:hyperlink>
          </w:p>
        </w:tc>
      </w:tr>
    </w:tbl>
    <w:p w14:paraId="7E35AE32" w14:textId="31D82C84" w:rsidR="00D132A3" w:rsidRDefault="00D132A3" w:rsidP="00D132A3"/>
    <w:p w14:paraId="6C68C2AD" w14:textId="77777777" w:rsidR="00D132A3" w:rsidRPr="002A6387" w:rsidRDefault="00D132A3" w:rsidP="00D132A3">
      <w:pPr>
        <w:pStyle w:val="Heading3"/>
        <w:rPr>
          <w:b/>
        </w:rPr>
      </w:pPr>
      <w:bookmarkStart w:id="22" w:name="_Toc504573062"/>
      <w:r w:rsidRPr="002A6387">
        <w:rPr>
          <w:b/>
        </w:rPr>
        <w:t>Articulation &amp; Transfer of Credit</w:t>
      </w:r>
      <w:bookmarkEnd w:id="22"/>
    </w:p>
    <w:p w14:paraId="0A015346" w14:textId="77777777" w:rsidR="00D132A3" w:rsidRDefault="00D132A3" w:rsidP="00D132A3">
      <w:r>
        <w:t>Programs of study are required to “o</w:t>
      </w:r>
      <w:r w:rsidRPr="00090573">
        <w:t>ffer the opportunity, where appropriate, for secondary students to acquire postsecondary credits</w:t>
      </w:r>
      <w:r>
        <w:t xml:space="preserve">.” States have the opportunity to take a broader view and consider how programs of study can offer transfer of credits not only across secondary to postsecondary, but within postsecondary through stackable credits, credentials and degrees. </w:t>
      </w:r>
    </w:p>
    <w:p w14:paraId="6FE4519C" w14:textId="77777777" w:rsidR="00D132A3" w:rsidRDefault="00D132A3" w:rsidP="00D132A3"/>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D132A3" w14:paraId="57BABDEF" w14:textId="77777777" w:rsidTr="001B4BDE">
        <w:trPr>
          <w:trHeight w:val="49"/>
        </w:trPr>
        <w:tc>
          <w:tcPr>
            <w:tcW w:w="1710" w:type="dxa"/>
            <w:shd w:val="clear" w:color="auto" w:fill="F2F2F2" w:themeFill="background1" w:themeFillShade="F2"/>
            <w:tcMar>
              <w:top w:w="72" w:type="dxa"/>
              <w:left w:w="115" w:type="dxa"/>
              <w:right w:w="115" w:type="dxa"/>
            </w:tcMar>
          </w:tcPr>
          <w:p w14:paraId="251BBBD2" w14:textId="77777777" w:rsidR="00D132A3" w:rsidRPr="006169A9" w:rsidRDefault="00D132A3" w:rsidP="002D301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34011B5E" w14:textId="77777777" w:rsidR="00D132A3" w:rsidRDefault="00D132A3" w:rsidP="002D3018">
            <w:r>
              <w:t xml:space="preserve">The inclusion of early postsecondary courses within the </w:t>
            </w:r>
            <w:r w:rsidRPr="00E24CD4">
              <w:t>secondary</w:t>
            </w:r>
            <w:r>
              <w:t xml:space="preserve"> portion of a program of study allows learners to access postsecondary level learning and credit attainment while progressing through their sequenced, aligned content.</w:t>
            </w:r>
          </w:p>
          <w:p w14:paraId="2983A1D8" w14:textId="77777777" w:rsidR="00D132A3" w:rsidRDefault="00D132A3" w:rsidP="002D3018"/>
          <w:p w14:paraId="39E493E4" w14:textId="34E66FA1" w:rsidR="00D132A3" w:rsidRDefault="00D132A3" w:rsidP="002D3018">
            <w:r>
              <w:t xml:space="preserve">Studies show that </w:t>
            </w:r>
            <w:r w:rsidR="009B2041">
              <w:t>students</w:t>
            </w:r>
            <w:r>
              <w:t xml:space="preserve"> who earn postsecondary credit/hours while in high school are more likely to enter </w:t>
            </w:r>
            <w:r w:rsidR="005B6DCC">
              <w:t xml:space="preserve">(and be successful in) </w:t>
            </w:r>
            <w:r>
              <w:t>a technical college, community college, or four-year college.</w:t>
            </w:r>
            <w:r w:rsidR="005B6DCC">
              <w:rPr>
                <w:rStyle w:val="FootnoteReference"/>
              </w:rPr>
              <w:footnoteReference w:id="3"/>
            </w:r>
          </w:p>
          <w:p w14:paraId="110A630E" w14:textId="77777777" w:rsidR="00D132A3" w:rsidRDefault="00D132A3" w:rsidP="002D3018"/>
          <w:p w14:paraId="5686BFAA" w14:textId="003D7153" w:rsidR="00D132A3" w:rsidRDefault="00D132A3" w:rsidP="002D3018">
            <w:r>
              <w:t xml:space="preserve">Though dual enrollment is one of the most promoted </w:t>
            </w:r>
            <w:r w:rsidR="00DE3104">
              <w:t>options</w:t>
            </w:r>
            <w:r>
              <w:t xml:space="preserve">, there are several other opportunities that can align to CTE content </w:t>
            </w:r>
            <w:r w:rsidR="00DE3104">
              <w:t>worth considering,</w:t>
            </w:r>
            <w:r>
              <w:t xml:space="preserve"> such as:</w:t>
            </w:r>
          </w:p>
          <w:p w14:paraId="0A73C3B6" w14:textId="77777777" w:rsidR="00D132A3" w:rsidRDefault="00D132A3" w:rsidP="002D3018">
            <w:pPr>
              <w:pStyle w:val="ListParagraph"/>
              <w:numPr>
                <w:ilvl w:val="0"/>
                <w:numId w:val="23"/>
              </w:numPr>
            </w:pPr>
            <w:r>
              <w:lastRenderedPageBreak/>
              <w:t xml:space="preserve">Concurrent enrollment </w:t>
            </w:r>
          </w:p>
          <w:p w14:paraId="1627E6A0" w14:textId="244AB069" w:rsidR="00D132A3" w:rsidRDefault="005B6DCC" w:rsidP="002D3018">
            <w:pPr>
              <w:pStyle w:val="ListParagraph"/>
              <w:numPr>
                <w:ilvl w:val="0"/>
                <w:numId w:val="23"/>
              </w:numPr>
            </w:pPr>
            <w:r>
              <w:t>Transcripted courses</w:t>
            </w:r>
          </w:p>
          <w:p w14:paraId="13C742DF" w14:textId="77777777" w:rsidR="00D132A3" w:rsidRDefault="00D132A3" w:rsidP="002D3018">
            <w:pPr>
              <w:pStyle w:val="ListParagraph"/>
              <w:numPr>
                <w:ilvl w:val="0"/>
                <w:numId w:val="23"/>
              </w:numPr>
            </w:pPr>
            <w:r>
              <w:t>International Baccalaureate</w:t>
            </w:r>
          </w:p>
          <w:p w14:paraId="5E5D2812" w14:textId="77777777" w:rsidR="00D132A3" w:rsidRDefault="00D132A3" w:rsidP="002D3018">
            <w:pPr>
              <w:pStyle w:val="ListParagraph"/>
              <w:numPr>
                <w:ilvl w:val="0"/>
                <w:numId w:val="23"/>
              </w:numPr>
            </w:pPr>
            <w:r>
              <w:t>Cambridge International</w:t>
            </w:r>
          </w:p>
          <w:p w14:paraId="36D72A2F" w14:textId="77777777" w:rsidR="00D132A3" w:rsidRDefault="00D132A3" w:rsidP="002D3018">
            <w:pPr>
              <w:pStyle w:val="ListParagraph"/>
              <w:numPr>
                <w:ilvl w:val="0"/>
                <w:numId w:val="23"/>
              </w:numPr>
            </w:pPr>
            <w:r>
              <w:t>Course Level Examination Program (CLEP)</w:t>
            </w:r>
          </w:p>
          <w:p w14:paraId="777A1946" w14:textId="2726C1A7" w:rsidR="00D132A3" w:rsidRDefault="00D132A3" w:rsidP="002D3018">
            <w:pPr>
              <w:pStyle w:val="ListParagraph"/>
              <w:numPr>
                <w:ilvl w:val="0"/>
                <w:numId w:val="23"/>
              </w:numPr>
            </w:pPr>
            <w:r>
              <w:t>Advanced Placement</w:t>
            </w:r>
            <w:r w:rsidR="00E24CD4">
              <w:t xml:space="preserve"> exams</w:t>
            </w:r>
          </w:p>
          <w:p w14:paraId="22288838" w14:textId="77777777" w:rsidR="00D132A3" w:rsidRDefault="00D132A3" w:rsidP="002D3018">
            <w:pPr>
              <w:pStyle w:val="ListParagraph"/>
              <w:numPr>
                <w:ilvl w:val="0"/>
                <w:numId w:val="23"/>
              </w:numPr>
            </w:pPr>
            <w:r>
              <w:t>Industry Certifications (when articulation agreements are in place)</w:t>
            </w:r>
          </w:p>
          <w:p w14:paraId="07FE9481" w14:textId="77777777" w:rsidR="00D132A3" w:rsidRDefault="00D132A3" w:rsidP="002D3018"/>
          <w:p w14:paraId="4C93C944" w14:textId="77777777" w:rsidR="00D132A3" w:rsidRDefault="00D132A3" w:rsidP="002D3018">
            <w:r>
              <w:t xml:space="preserve">In the 2017 Perkins survey, a majority of states – 42 – say it is true or somewhat true that their early postsecondary opportunities are “fully transferable and articulated statement,” and 31 states say their early postsecondary opportunities are a required component of a state-approved program of study at the secondary level. </w:t>
            </w:r>
          </w:p>
          <w:p w14:paraId="4A36904F" w14:textId="77777777" w:rsidR="004B7608" w:rsidRDefault="004B7608" w:rsidP="002D3018"/>
          <w:p w14:paraId="1A0763D1" w14:textId="45E64215" w:rsidR="004B7608" w:rsidRPr="00751AB2" w:rsidRDefault="004B7608" w:rsidP="004B7608">
            <w:r w:rsidRPr="00751AB2">
              <w:t xml:space="preserve">Equally important is ensuring articulation and transfer within and across postsecondary </w:t>
            </w:r>
            <w:r>
              <w:t xml:space="preserve">programs and institutions, particularly across postsecondary certificate programs (credit or non-credit), associate’s degrees and even bachelor’s and beyond. </w:t>
            </w:r>
          </w:p>
          <w:p w14:paraId="5C9D1C94" w14:textId="77777777" w:rsidR="00D132A3" w:rsidRDefault="00D132A3" w:rsidP="002D3018"/>
          <w:p w14:paraId="125E42AB" w14:textId="431A040A" w:rsidR="00D132A3" w:rsidRDefault="00D132A3" w:rsidP="002D3018">
            <w:r>
              <w:t>Again, you can draw on a lot of previously discussed levers and funding streams to develop or incentivize early postsecondary courses and credit transfer</w:t>
            </w:r>
            <w:r w:rsidR="004B7608">
              <w:t xml:space="preserve"> agreements</w:t>
            </w:r>
            <w:r>
              <w:t xml:space="preserve"> – such as reserve funds, state leadership funds to create agreements or even new dual credit course, state incentive grants to expand participation, etc. And, of course, you can require any approved program of study to include such course options. </w:t>
            </w:r>
          </w:p>
          <w:p w14:paraId="453058FC" w14:textId="77777777" w:rsidR="00D132A3" w:rsidRDefault="00D132A3" w:rsidP="002D3018"/>
          <w:p w14:paraId="00B26AE0" w14:textId="7DEA7C0E" w:rsidR="00D132A3" w:rsidRPr="00BF67C8" w:rsidRDefault="00D132A3" w:rsidP="00BF67C8">
            <w:pPr>
              <w:spacing w:after="120"/>
            </w:pPr>
            <w:r>
              <w:t xml:space="preserve">Another option you may consider is turning </w:t>
            </w:r>
            <w:r w:rsidR="006B3245">
              <w:t xml:space="preserve">the </w:t>
            </w:r>
            <w:r>
              <w:t>entire</w:t>
            </w:r>
            <w:r w:rsidR="006B3245">
              <w:t xml:space="preserve"> secondary component of a</w:t>
            </w:r>
            <w:r>
              <w:t xml:space="preserve"> program of study into articulated credit as a way to encourage seamless and immediate continued enrollment for learners between high school and </w:t>
            </w:r>
            <w:r w:rsidR="006B3245">
              <w:t>post</w:t>
            </w:r>
            <w:r>
              <w:t xml:space="preserve">secondary. </w:t>
            </w:r>
            <w:r w:rsidR="004B7608">
              <w:t xml:space="preserve"> Similarly, states and institutions have developed agreements or policies that ensure the earning an industry-recognized credential carries credits</w:t>
            </w:r>
            <w:r w:rsidR="00202FFC">
              <w:t xml:space="preserve"> towards a two-year degree program. </w:t>
            </w:r>
          </w:p>
        </w:tc>
      </w:tr>
      <w:tr w:rsidR="00D132A3" w14:paraId="6E12BE45" w14:textId="77777777" w:rsidTr="001B4BDE">
        <w:trPr>
          <w:trHeight w:val="609"/>
        </w:trPr>
        <w:tc>
          <w:tcPr>
            <w:tcW w:w="1710" w:type="dxa"/>
            <w:shd w:val="clear" w:color="auto" w:fill="D5FCFF"/>
            <w:tcMar>
              <w:top w:w="72" w:type="dxa"/>
              <w:left w:w="115" w:type="dxa"/>
              <w:right w:w="115" w:type="dxa"/>
            </w:tcMar>
          </w:tcPr>
          <w:p w14:paraId="32155A42" w14:textId="77777777" w:rsidR="00D132A3" w:rsidRPr="006169A9" w:rsidRDefault="00D132A3" w:rsidP="002D3018">
            <w:pPr>
              <w:rPr>
                <w:b/>
              </w:rPr>
            </w:pPr>
            <w:r>
              <w:rPr>
                <w:b/>
              </w:rPr>
              <w:lastRenderedPageBreak/>
              <w:t xml:space="preserve">State Examples </w:t>
            </w:r>
          </w:p>
        </w:tc>
        <w:tc>
          <w:tcPr>
            <w:tcW w:w="7758" w:type="dxa"/>
            <w:shd w:val="clear" w:color="auto" w:fill="D5FCFF"/>
            <w:tcMar>
              <w:top w:w="72" w:type="dxa"/>
              <w:left w:w="115" w:type="dxa"/>
              <w:right w:w="115" w:type="dxa"/>
            </w:tcMar>
          </w:tcPr>
          <w:p w14:paraId="7163892F" w14:textId="717D92CB" w:rsidR="00D132A3" w:rsidRPr="00472950" w:rsidRDefault="00D132A3" w:rsidP="00472950">
            <w:r w:rsidRPr="00472950">
              <w:rPr>
                <w:b/>
              </w:rPr>
              <w:t>Kansas</w:t>
            </w:r>
            <w:r w:rsidR="00472950" w:rsidRPr="00472950">
              <w:t>’s</w:t>
            </w:r>
            <w:r>
              <w:t xml:space="preserve"> Excel in Ed</w:t>
            </w:r>
            <w:r w:rsidR="00472950" w:rsidRPr="00472950">
              <w:t xml:space="preserve"> </w:t>
            </w:r>
            <w:r w:rsidR="00472950">
              <w:t xml:space="preserve">program led to the development of a </w:t>
            </w:r>
            <w:r w:rsidR="00472950" w:rsidRPr="00472950">
              <w:t xml:space="preserve">statewide articulation agreement </w:t>
            </w:r>
            <w:r w:rsidR="006B3245">
              <w:t>that</w:t>
            </w:r>
            <w:r w:rsidR="00472950" w:rsidRPr="00472950">
              <w:t xml:space="preserve"> allow</w:t>
            </w:r>
            <w:r w:rsidR="006B3245">
              <w:t>s</w:t>
            </w:r>
            <w:r w:rsidR="00472950" w:rsidRPr="00472950">
              <w:t xml:space="preserve"> high school students to earn postsecondary credits in a CTE program of study</w:t>
            </w:r>
            <w:r w:rsidR="00472950">
              <w:t xml:space="preserve">, while waiving </w:t>
            </w:r>
            <w:r w:rsidR="00472950" w:rsidRPr="00472950">
              <w:t>tuition requirements for secondary students enrolled in Kansas community colleges.</w:t>
            </w:r>
            <w:r w:rsidR="00472950">
              <w:t xml:space="preserve"> As of </w:t>
            </w:r>
            <w:r w:rsidR="006B3245">
              <w:t xml:space="preserve">the </w:t>
            </w:r>
            <w:r w:rsidR="00472950">
              <w:t>2015-</w:t>
            </w:r>
            <w:r w:rsidR="00472950" w:rsidRPr="00472950">
              <w:t>16</w:t>
            </w:r>
            <w:r w:rsidR="006B3245">
              <w:t xml:space="preserve"> school year</w:t>
            </w:r>
            <w:r w:rsidR="00472950" w:rsidRPr="00472950">
              <w:t xml:space="preserve">, 85,150 credit hours </w:t>
            </w:r>
            <w:r w:rsidR="00DE3104">
              <w:t>had been</w:t>
            </w:r>
            <w:r w:rsidR="00472950" w:rsidRPr="00472950">
              <w:t xml:space="preserve"> earned. </w:t>
            </w:r>
          </w:p>
          <w:p w14:paraId="19FCE833" w14:textId="555AF860" w:rsidR="00472950" w:rsidRPr="00472950" w:rsidRDefault="00934C08" w:rsidP="00472950">
            <w:hyperlink r:id="rId35" w:history="1">
              <w:r w:rsidR="00472950" w:rsidRPr="00472950">
                <w:rPr>
                  <w:rStyle w:val="Hyperlink"/>
                </w:rPr>
                <w:t>Link</w:t>
              </w:r>
            </w:hyperlink>
          </w:p>
          <w:p w14:paraId="1292B9BA" w14:textId="77777777" w:rsidR="00D132A3" w:rsidRDefault="00D132A3" w:rsidP="002D3018"/>
          <w:p w14:paraId="03E01D0B" w14:textId="797572B9" w:rsidR="006B3245" w:rsidRDefault="006B3245" w:rsidP="006B3245">
            <w:r w:rsidRPr="00B83934">
              <w:rPr>
                <w:b/>
              </w:rPr>
              <w:t>Nevada</w:t>
            </w:r>
            <w:r>
              <w:t>’s CTE College Credit is a statewide program that</w:t>
            </w:r>
            <w:r w:rsidRPr="005B6DCC">
              <w:t xml:space="preserve"> award</w:t>
            </w:r>
            <w:r>
              <w:t>s</w:t>
            </w:r>
            <w:r w:rsidRPr="005B6DCC">
              <w:t xml:space="preserve"> college credit to high school students who complete state-approved </w:t>
            </w:r>
            <w:r>
              <w:t>CTE</w:t>
            </w:r>
            <w:r w:rsidRPr="005B6DCC">
              <w:t xml:space="preserve"> programs.</w:t>
            </w:r>
            <w:r>
              <w:t xml:space="preserve"> Nevada has established memoranda of understanding with postsecondary institutions based on state-approved CTE programs.</w:t>
            </w:r>
          </w:p>
          <w:p w14:paraId="47C6EB2A" w14:textId="77777777" w:rsidR="006B3245" w:rsidRDefault="00934C08" w:rsidP="006B3245">
            <w:pPr>
              <w:rPr>
                <w:rStyle w:val="Hyperlink"/>
              </w:rPr>
            </w:pPr>
            <w:hyperlink r:id="rId36" w:history="1">
              <w:r w:rsidR="006B3245" w:rsidRPr="00B83934">
                <w:rPr>
                  <w:rStyle w:val="Hyperlink"/>
                </w:rPr>
                <w:t>Link</w:t>
              </w:r>
            </w:hyperlink>
          </w:p>
          <w:p w14:paraId="35387EA1" w14:textId="77777777" w:rsidR="006B3245" w:rsidRDefault="006B3245" w:rsidP="006B3245"/>
          <w:p w14:paraId="79021B2A" w14:textId="77777777" w:rsidR="00D132A3" w:rsidRDefault="00D132A3" w:rsidP="002D3018">
            <w:r w:rsidRPr="00074A3B">
              <w:rPr>
                <w:b/>
              </w:rPr>
              <w:t>Idaho</w:t>
            </w:r>
            <w:r>
              <w:rPr>
                <w:b/>
              </w:rPr>
              <w:t xml:space="preserve"> </w:t>
            </w:r>
            <w:r>
              <w:t>has a process to develop</w:t>
            </w:r>
            <w:r w:rsidRPr="00074A3B">
              <w:t xml:space="preserve"> statewide articulation agreements</w:t>
            </w:r>
            <w:r>
              <w:t>,</w:t>
            </w:r>
            <w:r w:rsidRPr="00074A3B">
              <w:t xml:space="preserve"> </w:t>
            </w:r>
            <w:r>
              <w:t xml:space="preserve">which enable </w:t>
            </w:r>
            <w:r w:rsidRPr="00074A3B">
              <w:t>CTE students to continue their education at a college of their choosing</w:t>
            </w:r>
            <w:r>
              <w:t xml:space="preserve"> once they </w:t>
            </w:r>
            <w:r>
              <w:lastRenderedPageBreak/>
              <w:t xml:space="preserve">have completed their program of study and passed relevant </w:t>
            </w:r>
            <w:r w:rsidRPr="00074A3B">
              <w:t>end-of-course technical skills assessments, which are used to certify a student’s mastery of the content</w:t>
            </w:r>
            <w:r>
              <w:t>.</w:t>
            </w:r>
          </w:p>
          <w:p w14:paraId="29BF2283" w14:textId="225688D0" w:rsidR="006B3245" w:rsidRDefault="00934C08" w:rsidP="002D3018">
            <w:hyperlink r:id="rId37" w:history="1">
              <w:r w:rsidR="006B3245" w:rsidRPr="006B3245">
                <w:rPr>
                  <w:rStyle w:val="Hyperlink"/>
                </w:rPr>
                <w:t>Link (page 8)</w:t>
              </w:r>
            </w:hyperlink>
          </w:p>
          <w:p w14:paraId="60D90F72" w14:textId="77777777" w:rsidR="007C2EC5" w:rsidRDefault="007C2EC5" w:rsidP="002D3018"/>
          <w:p w14:paraId="72053470" w14:textId="5D4DCB22" w:rsidR="007C2EC5" w:rsidRDefault="007C2EC5" w:rsidP="007C2EC5">
            <w:r w:rsidRPr="007C2EC5">
              <w:rPr>
                <w:b/>
              </w:rPr>
              <w:t>Delaware</w:t>
            </w:r>
            <w:r>
              <w:t>’s local program of study approval application requires local recipients to identify</w:t>
            </w:r>
            <w:r w:rsidRPr="00B24512">
              <w:t xml:space="preserve"> early career opportunities, </w:t>
            </w:r>
            <w:r>
              <w:t>including</w:t>
            </w:r>
            <w:r w:rsidRPr="00B24512">
              <w:t xml:space="preserve"> options for early college credit, </w:t>
            </w:r>
            <w:r w:rsidR="00DE3104">
              <w:t>as well as</w:t>
            </w:r>
            <w:r>
              <w:t xml:space="preserve"> </w:t>
            </w:r>
            <w:r w:rsidRPr="00B24512">
              <w:t>two- and four-year degree and certification program alignment</w:t>
            </w:r>
            <w:r>
              <w:t>.</w:t>
            </w:r>
          </w:p>
          <w:p w14:paraId="1DA5DCAB" w14:textId="77777777" w:rsidR="007C2EC5" w:rsidRDefault="00934C08" w:rsidP="007C2EC5">
            <w:hyperlink r:id="rId38" w:history="1">
              <w:r w:rsidR="007C2EC5" w:rsidRPr="007C2EC5">
                <w:rPr>
                  <w:rStyle w:val="Hyperlink"/>
                </w:rPr>
                <w:t>Link</w:t>
              </w:r>
            </w:hyperlink>
          </w:p>
          <w:p w14:paraId="7F0F4942" w14:textId="608A02C6" w:rsidR="00472950" w:rsidRDefault="00DE3104" w:rsidP="00DE3104">
            <w:pPr>
              <w:tabs>
                <w:tab w:val="left" w:pos="940"/>
              </w:tabs>
            </w:pPr>
            <w:r>
              <w:tab/>
            </w:r>
          </w:p>
          <w:p w14:paraId="5BC48B42" w14:textId="0672A41A" w:rsidR="00472950" w:rsidRDefault="00472950" w:rsidP="00472950">
            <w:r w:rsidRPr="00472950">
              <w:rPr>
                <w:b/>
              </w:rPr>
              <w:t>Florida</w:t>
            </w:r>
            <w:r>
              <w:t xml:space="preserve"> </w:t>
            </w:r>
            <w:r w:rsidR="00DE3104">
              <w:t>uses</w:t>
            </w:r>
            <w:r>
              <w:t xml:space="preserve"> common course numbering across its 12 state universities, 28 community/state colleges, and 46 career education centers, enabling transfer of credit across and between institutions. </w:t>
            </w:r>
          </w:p>
          <w:p w14:paraId="21EBCC8B" w14:textId="0F7FF36F" w:rsidR="00472950" w:rsidRDefault="00934C08" w:rsidP="00BF67C8">
            <w:pPr>
              <w:spacing w:after="120"/>
            </w:pPr>
            <w:hyperlink r:id="rId39" w:history="1">
              <w:r w:rsidR="00472950" w:rsidRPr="00472950">
                <w:rPr>
                  <w:rStyle w:val="Hyperlink"/>
                </w:rPr>
                <w:t>Link</w:t>
              </w:r>
            </w:hyperlink>
          </w:p>
        </w:tc>
      </w:tr>
    </w:tbl>
    <w:p w14:paraId="601A4BBC" w14:textId="16649BCF" w:rsidR="00D132A3" w:rsidRDefault="00D132A3" w:rsidP="00D132A3"/>
    <w:p w14:paraId="1B7928E4" w14:textId="4AE92E89" w:rsidR="00645B9D" w:rsidRDefault="00645B9D" w:rsidP="00D132A3">
      <w:pPr>
        <w:pStyle w:val="Heading3"/>
        <w:rPr>
          <w:b/>
        </w:rPr>
      </w:pPr>
      <w:r>
        <w:rPr>
          <w:b/>
        </w:rPr>
        <w:br w:type="page"/>
      </w:r>
    </w:p>
    <w:p w14:paraId="6BD85013" w14:textId="5031A44E" w:rsidR="00D132A3" w:rsidRPr="002A6387" w:rsidRDefault="00D132A3" w:rsidP="00D132A3">
      <w:pPr>
        <w:pStyle w:val="Heading3"/>
        <w:rPr>
          <w:b/>
        </w:rPr>
      </w:pPr>
      <w:bookmarkStart w:id="23" w:name="_Toc504573063"/>
      <w:r w:rsidRPr="002A6387">
        <w:rPr>
          <w:b/>
        </w:rPr>
        <w:lastRenderedPageBreak/>
        <w:t>Key Questions:  Secondary &amp; Postsecondary Alignment</w:t>
      </w:r>
      <w:bookmarkEnd w:id="23"/>
    </w:p>
    <w:p w14:paraId="55F31064" w14:textId="07811D79" w:rsidR="00D132A3" w:rsidRPr="00645B9D" w:rsidRDefault="00D132A3" w:rsidP="00D132A3">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038" w:tblpY="170"/>
        <w:tblW w:w="10255" w:type="dxa"/>
        <w:tblLook w:val="04A0" w:firstRow="1" w:lastRow="0" w:firstColumn="1" w:lastColumn="0" w:noHBand="0" w:noVBand="1"/>
      </w:tblPr>
      <w:tblGrid>
        <w:gridCol w:w="1751"/>
        <w:gridCol w:w="3477"/>
        <w:gridCol w:w="5027"/>
      </w:tblGrid>
      <w:tr w:rsidR="00D132A3" w:rsidRPr="006169A9" w14:paraId="6D22CF36" w14:textId="77777777" w:rsidTr="002D3018">
        <w:trPr>
          <w:trHeight w:val="170"/>
          <w:tblHeader/>
        </w:trPr>
        <w:tc>
          <w:tcPr>
            <w:tcW w:w="1751" w:type="dxa"/>
            <w:shd w:val="clear" w:color="auto" w:fill="F2F2F2" w:themeFill="background1" w:themeFillShade="F2"/>
            <w:tcMar>
              <w:top w:w="72" w:type="dxa"/>
              <w:left w:w="115" w:type="dxa"/>
              <w:right w:w="115" w:type="dxa"/>
            </w:tcMar>
            <w:vAlign w:val="center"/>
          </w:tcPr>
          <w:p w14:paraId="68C8AAE3" w14:textId="77777777" w:rsidR="00D132A3" w:rsidRPr="006169A9" w:rsidRDefault="00D132A3" w:rsidP="002D3018">
            <w:pPr>
              <w:pStyle w:val="Heading4"/>
              <w:outlineLvl w:val="3"/>
            </w:pPr>
            <w:r>
              <w:br w:type="page"/>
            </w:r>
          </w:p>
        </w:tc>
        <w:tc>
          <w:tcPr>
            <w:tcW w:w="3477" w:type="dxa"/>
            <w:shd w:val="clear" w:color="auto" w:fill="F2F2F2" w:themeFill="background1" w:themeFillShade="F2"/>
            <w:tcMar>
              <w:top w:w="72" w:type="dxa"/>
              <w:left w:w="115" w:type="dxa"/>
              <w:right w:w="115" w:type="dxa"/>
            </w:tcMar>
          </w:tcPr>
          <w:p w14:paraId="7550A924" w14:textId="77777777" w:rsidR="00D132A3" w:rsidRPr="006169A9" w:rsidRDefault="00D132A3" w:rsidP="002D3018">
            <w:pPr>
              <w:jc w:val="center"/>
              <w:rPr>
                <w:b/>
                <w:i/>
                <w:sz w:val="24"/>
              </w:rPr>
            </w:pPr>
            <w:r>
              <w:rPr>
                <w:b/>
                <w:i/>
                <w:sz w:val="24"/>
              </w:rPr>
              <w:t>Key Questions</w:t>
            </w:r>
          </w:p>
        </w:tc>
        <w:tc>
          <w:tcPr>
            <w:tcW w:w="5027" w:type="dxa"/>
            <w:shd w:val="clear" w:color="auto" w:fill="F2F2F2" w:themeFill="background1" w:themeFillShade="F2"/>
            <w:tcMar>
              <w:top w:w="72" w:type="dxa"/>
              <w:left w:w="115" w:type="dxa"/>
              <w:right w:w="115" w:type="dxa"/>
            </w:tcMar>
          </w:tcPr>
          <w:p w14:paraId="3275D2C0" w14:textId="77777777" w:rsidR="00D132A3" w:rsidRDefault="00D132A3" w:rsidP="002D3018">
            <w:pPr>
              <w:jc w:val="center"/>
            </w:pPr>
            <w:r w:rsidRPr="00EE58A1">
              <w:rPr>
                <w:b/>
                <w:i/>
                <w:sz w:val="24"/>
              </w:rPr>
              <w:t>State Response</w:t>
            </w:r>
          </w:p>
        </w:tc>
      </w:tr>
      <w:tr w:rsidR="000C763C" w14:paraId="2B9855BE" w14:textId="77777777" w:rsidTr="002D3018">
        <w:trPr>
          <w:trHeight w:val="763"/>
          <w:tblHeader/>
        </w:trPr>
        <w:tc>
          <w:tcPr>
            <w:tcW w:w="1751" w:type="dxa"/>
            <w:vMerge w:val="restart"/>
            <w:tcMar>
              <w:top w:w="72" w:type="dxa"/>
              <w:left w:w="115" w:type="dxa"/>
              <w:right w:w="115" w:type="dxa"/>
            </w:tcMar>
            <w:vAlign w:val="center"/>
          </w:tcPr>
          <w:p w14:paraId="6B74450C" w14:textId="77777777" w:rsidR="000C763C" w:rsidRDefault="000C763C" w:rsidP="002D3018">
            <w:r w:rsidRPr="00606BD0">
              <w:rPr>
                <w:b/>
                <w:i/>
                <w:sz w:val="24"/>
              </w:rPr>
              <w:t>Secondary &amp; Postsecondary Alignment</w:t>
            </w:r>
          </w:p>
        </w:tc>
        <w:tc>
          <w:tcPr>
            <w:tcW w:w="3477" w:type="dxa"/>
            <w:tcMar>
              <w:top w:w="72" w:type="dxa"/>
              <w:left w:w="115" w:type="dxa"/>
              <w:right w:w="115" w:type="dxa"/>
            </w:tcMar>
          </w:tcPr>
          <w:p w14:paraId="6689D611" w14:textId="7056E5AF" w:rsidR="000C763C" w:rsidRDefault="000C763C" w:rsidP="00D21F48">
            <w:pPr>
              <w:spacing w:after="120"/>
            </w:pPr>
            <w:r>
              <w:t>What role does secondary play in the design of the postsecondary portion of a program of study? Conversely, what role does postsecondary play in the design of the secondary portion of a program of study?</w:t>
            </w:r>
          </w:p>
        </w:tc>
        <w:tc>
          <w:tcPr>
            <w:tcW w:w="5027" w:type="dxa"/>
            <w:tcMar>
              <w:top w:w="72" w:type="dxa"/>
              <w:left w:w="115" w:type="dxa"/>
              <w:right w:w="115" w:type="dxa"/>
            </w:tcMar>
          </w:tcPr>
          <w:p w14:paraId="50E63BFE" w14:textId="77777777" w:rsidR="000C763C" w:rsidRDefault="000C763C" w:rsidP="002D3018">
            <w:pPr>
              <w:pStyle w:val="Heading4"/>
              <w:outlineLvl w:val="3"/>
            </w:pPr>
          </w:p>
        </w:tc>
      </w:tr>
      <w:tr w:rsidR="000C763C" w14:paraId="4369DEC5" w14:textId="77777777" w:rsidTr="002D3018">
        <w:trPr>
          <w:trHeight w:val="1027"/>
          <w:tblHeader/>
        </w:trPr>
        <w:tc>
          <w:tcPr>
            <w:tcW w:w="1751" w:type="dxa"/>
            <w:vMerge/>
            <w:tcMar>
              <w:top w:w="72" w:type="dxa"/>
              <w:left w:w="115" w:type="dxa"/>
              <w:right w:w="115" w:type="dxa"/>
            </w:tcMar>
          </w:tcPr>
          <w:p w14:paraId="0E1E2508" w14:textId="77777777" w:rsidR="000C763C" w:rsidRPr="006169A9" w:rsidRDefault="000C763C" w:rsidP="002D3018">
            <w:pPr>
              <w:pStyle w:val="Heading4"/>
              <w:outlineLvl w:val="3"/>
            </w:pPr>
          </w:p>
        </w:tc>
        <w:tc>
          <w:tcPr>
            <w:tcW w:w="3477" w:type="dxa"/>
            <w:tcMar>
              <w:top w:w="72" w:type="dxa"/>
              <w:left w:w="115" w:type="dxa"/>
              <w:right w:w="115" w:type="dxa"/>
            </w:tcMar>
          </w:tcPr>
          <w:p w14:paraId="357F5091" w14:textId="221C7B87" w:rsidR="000C763C" w:rsidRPr="00C61F41" w:rsidRDefault="000C763C" w:rsidP="002D3018">
            <w:pPr>
              <w:spacing w:after="120"/>
            </w:pPr>
            <w:r>
              <w:t>Does your state offer any fully aligned secondary-postsecondary programs of study? What does data tell you about these programs?</w:t>
            </w:r>
          </w:p>
        </w:tc>
        <w:tc>
          <w:tcPr>
            <w:tcW w:w="5027" w:type="dxa"/>
            <w:tcMar>
              <w:top w:w="72" w:type="dxa"/>
              <w:left w:w="115" w:type="dxa"/>
              <w:right w:w="115" w:type="dxa"/>
            </w:tcMar>
          </w:tcPr>
          <w:p w14:paraId="7042880A" w14:textId="77777777" w:rsidR="000C763C" w:rsidRDefault="000C763C" w:rsidP="002D3018">
            <w:pPr>
              <w:pStyle w:val="Heading4"/>
              <w:outlineLvl w:val="3"/>
            </w:pPr>
          </w:p>
        </w:tc>
      </w:tr>
      <w:tr w:rsidR="000C763C" w14:paraId="2064833E" w14:textId="77777777" w:rsidTr="002D3018">
        <w:trPr>
          <w:trHeight w:val="1027"/>
          <w:tblHeader/>
        </w:trPr>
        <w:tc>
          <w:tcPr>
            <w:tcW w:w="1751" w:type="dxa"/>
            <w:vMerge/>
            <w:tcMar>
              <w:top w:w="72" w:type="dxa"/>
              <w:left w:w="115" w:type="dxa"/>
              <w:right w:w="115" w:type="dxa"/>
            </w:tcMar>
          </w:tcPr>
          <w:p w14:paraId="4F93FE36" w14:textId="77777777" w:rsidR="000C763C" w:rsidRPr="006169A9" w:rsidRDefault="000C763C" w:rsidP="002D3018">
            <w:pPr>
              <w:pStyle w:val="Heading4"/>
              <w:outlineLvl w:val="3"/>
            </w:pPr>
          </w:p>
        </w:tc>
        <w:tc>
          <w:tcPr>
            <w:tcW w:w="3477" w:type="dxa"/>
            <w:tcMar>
              <w:top w:w="72" w:type="dxa"/>
              <w:left w:w="115" w:type="dxa"/>
              <w:right w:w="115" w:type="dxa"/>
            </w:tcMar>
          </w:tcPr>
          <w:p w14:paraId="2539A893" w14:textId="77777777" w:rsidR="000C763C" w:rsidRDefault="000C763C" w:rsidP="00751AB2">
            <w:pPr>
              <w:spacing w:after="120"/>
              <w:rPr>
                <w:rFonts w:eastAsia="Times New Roman" w:cs="Arial"/>
                <w:color w:val="000000"/>
              </w:rPr>
            </w:pPr>
            <w:r>
              <w:rPr>
                <w:rFonts w:eastAsia="Times New Roman" w:cs="Arial"/>
                <w:color w:val="000000"/>
              </w:rPr>
              <w:t xml:space="preserve">Are early postsecondary opportunities a requirement for program of study approval?  </w:t>
            </w:r>
          </w:p>
          <w:p w14:paraId="7B8C44DD" w14:textId="3E824CE7" w:rsidR="000C763C" w:rsidRPr="00DE3104" w:rsidRDefault="000C763C" w:rsidP="00DE3104">
            <w:pPr>
              <w:pStyle w:val="ListParagraph"/>
              <w:numPr>
                <w:ilvl w:val="0"/>
                <w:numId w:val="23"/>
              </w:numPr>
              <w:spacing w:after="120"/>
              <w:ind w:left="370"/>
              <w:rPr>
                <w:lang w:val="en-GB"/>
              </w:rPr>
            </w:pPr>
            <w:r>
              <w:rPr>
                <w:lang w:val="en-GB"/>
              </w:rPr>
              <w:t>If not, what is the rationale or barrier to this becoming a requirement?</w:t>
            </w:r>
          </w:p>
        </w:tc>
        <w:tc>
          <w:tcPr>
            <w:tcW w:w="5027" w:type="dxa"/>
            <w:tcMar>
              <w:top w:w="72" w:type="dxa"/>
              <w:left w:w="115" w:type="dxa"/>
              <w:right w:w="115" w:type="dxa"/>
            </w:tcMar>
          </w:tcPr>
          <w:p w14:paraId="4F3ADE07" w14:textId="77777777" w:rsidR="000C763C" w:rsidRDefault="000C763C" w:rsidP="002D3018">
            <w:pPr>
              <w:pStyle w:val="Heading4"/>
              <w:outlineLvl w:val="3"/>
            </w:pPr>
          </w:p>
        </w:tc>
      </w:tr>
      <w:tr w:rsidR="000C763C" w14:paraId="7D6A0124" w14:textId="77777777" w:rsidTr="002D3018">
        <w:trPr>
          <w:trHeight w:val="1027"/>
          <w:tblHeader/>
        </w:trPr>
        <w:tc>
          <w:tcPr>
            <w:tcW w:w="1751" w:type="dxa"/>
            <w:vMerge/>
            <w:tcMar>
              <w:top w:w="72" w:type="dxa"/>
              <w:left w:w="115" w:type="dxa"/>
              <w:right w:w="115" w:type="dxa"/>
            </w:tcMar>
          </w:tcPr>
          <w:p w14:paraId="4B0BAD0D" w14:textId="77777777" w:rsidR="000C763C" w:rsidRPr="006169A9" w:rsidRDefault="000C763C" w:rsidP="002D3018">
            <w:pPr>
              <w:pStyle w:val="Heading4"/>
              <w:outlineLvl w:val="3"/>
            </w:pPr>
          </w:p>
        </w:tc>
        <w:tc>
          <w:tcPr>
            <w:tcW w:w="3477" w:type="dxa"/>
            <w:tcMar>
              <w:top w:w="72" w:type="dxa"/>
              <w:left w:w="115" w:type="dxa"/>
              <w:right w:w="115" w:type="dxa"/>
            </w:tcMar>
          </w:tcPr>
          <w:p w14:paraId="19FAA929" w14:textId="7484D6B9" w:rsidR="000C763C" w:rsidRDefault="000C763C" w:rsidP="002D3018">
            <w:pPr>
              <w:rPr>
                <w:lang w:val="en-GB"/>
              </w:rPr>
            </w:pPr>
            <w:r w:rsidRPr="00090573">
              <w:rPr>
                <w:lang w:val="en-GB"/>
              </w:rPr>
              <w:t>What type of</w:t>
            </w:r>
            <w:r>
              <w:rPr>
                <w:lang w:val="en-GB"/>
              </w:rPr>
              <w:t xml:space="preserve"> (statewide)</w:t>
            </w:r>
            <w:r w:rsidRPr="00090573">
              <w:rPr>
                <w:lang w:val="en-GB"/>
              </w:rPr>
              <w:t xml:space="preserve"> </w:t>
            </w:r>
            <w:r>
              <w:rPr>
                <w:lang w:val="en-GB"/>
              </w:rPr>
              <w:t>credit transfer agreements</w:t>
            </w:r>
            <w:r w:rsidRPr="00090573">
              <w:rPr>
                <w:lang w:val="en-GB"/>
              </w:rPr>
              <w:t xml:space="preserve"> are in place between your state</w:t>
            </w:r>
            <w:r>
              <w:rPr>
                <w:lang w:val="en-GB"/>
              </w:rPr>
              <w:t>’s secondary</w:t>
            </w:r>
            <w:r w:rsidRPr="00090573">
              <w:rPr>
                <w:lang w:val="en-GB"/>
              </w:rPr>
              <w:t xml:space="preserve"> </w:t>
            </w:r>
            <w:r>
              <w:rPr>
                <w:lang w:val="en-GB"/>
              </w:rPr>
              <w:t>and</w:t>
            </w:r>
            <w:r w:rsidRPr="00090573">
              <w:rPr>
                <w:lang w:val="en-GB"/>
              </w:rPr>
              <w:t xml:space="preserve"> postsecondary system</w:t>
            </w:r>
            <w:r>
              <w:rPr>
                <w:lang w:val="en-GB"/>
              </w:rPr>
              <w:t>s</w:t>
            </w:r>
            <w:r w:rsidRPr="00090573">
              <w:rPr>
                <w:lang w:val="en-GB"/>
              </w:rPr>
              <w:t xml:space="preserve"> and/or institutions? </w:t>
            </w:r>
          </w:p>
          <w:p w14:paraId="403850C7" w14:textId="77777777" w:rsidR="000C763C" w:rsidRPr="00C61F41" w:rsidRDefault="000C763C" w:rsidP="002D3018">
            <w:pPr>
              <w:pStyle w:val="ListParagraph"/>
              <w:numPr>
                <w:ilvl w:val="0"/>
                <w:numId w:val="26"/>
              </w:numPr>
              <w:spacing w:after="120"/>
            </w:pPr>
            <w:r w:rsidRPr="005B66AC">
              <w:rPr>
                <w:lang w:val="en-GB"/>
              </w:rPr>
              <w:t>If none, what steps need to be taken to formalize agreements?</w:t>
            </w:r>
          </w:p>
        </w:tc>
        <w:tc>
          <w:tcPr>
            <w:tcW w:w="5027" w:type="dxa"/>
            <w:tcMar>
              <w:top w:w="72" w:type="dxa"/>
              <w:left w:w="115" w:type="dxa"/>
              <w:right w:w="115" w:type="dxa"/>
            </w:tcMar>
          </w:tcPr>
          <w:p w14:paraId="4B7FB5B0" w14:textId="77777777" w:rsidR="000C763C" w:rsidRDefault="000C763C" w:rsidP="002D3018">
            <w:pPr>
              <w:pStyle w:val="Heading4"/>
              <w:outlineLvl w:val="3"/>
            </w:pPr>
          </w:p>
        </w:tc>
      </w:tr>
      <w:tr w:rsidR="000C763C" w14:paraId="67237266" w14:textId="77777777" w:rsidTr="002D3018">
        <w:trPr>
          <w:trHeight w:val="1027"/>
          <w:tblHeader/>
        </w:trPr>
        <w:tc>
          <w:tcPr>
            <w:tcW w:w="1751" w:type="dxa"/>
            <w:vMerge/>
            <w:tcMar>
              <w:top w:w="72" w:type="dxa"/>
              <w:left w:w="115" w:type="dxa"/>
              <w:right w:w="115" w:type="dxa"/>
            </w:tcMar>
          </w:tcPr>
          <w:p w14:paraId="3BA8EFF8" w14:textId="77777777" w:rsidR="000C763C" w:rsidRPr="006169A9" w:rsidRDefault="000C763C" w:rsidP="002D3018">
            <w:pPr>
              <w:pStyle w:val="Heading4"/>
              <w:outlineLvl w:val="3"/>
            </w:pPr>
          </w:p>
        </w:tc>
        <w:tc>
          <w:tcPr>
            <w:tcW w:w="3477" w:type="dxa"/>
            <w:tcMar>
              <w:top w:w="72" w:type="dxa"/>
              <w:left w:w="115" w:type="dxa"/>
              <w:right w:w="115" w:type="dxa"/>
            </w:tcMar>
          </w:tcPr>
          <w:p w14:paraId="61F605C9" w14:textId="77777777" w:rsidR="000C763C" w:rsidRDefault="000C763C" w:rsidP="00557453">
            <w:pPr>
              <w:rPr>
                <w:lang w:val="en-GB"/>
              </w:rPr>
            </w:pPr>
            <w:r w:rsidRPr="00090573">
              <w:rPr>
                <w:lang w:val="en-GB"/>
              </w:rPr>
              <w:t>What type of</w:t>
            </w:r>
            <w:r>
              <w:rPr>
                <w:lang w:val="en-GB"/>
              </w:rPr>
              <w:t xml:space="preserve"> (statewide)</w:t>
            </w:r>
            <w:r w:rsidRPr="00090573">
              <w:rPr>
                <w:lang w:val="en-GB"/>
              </w:rPr>
              <w:t xml:space="preserve"> </w:t>
            </w:r>
            <w:r>
              <w:rPr>
                <w:lang w:val="en-GB"/>
              </w:rPr>
              <w:t>credit transfer agreements</w:t>
            </w:r>
            <w:r w:rsidRPr="00090573">
              <w:rPr>
                <w:lang w:val="en-GB"/>
              </w:rPr>
              <w:t xml:space="preserve"> are in place </w:t>
            </w:r>
            <w:r>
              <w:rPr>
                <w:lang w:val="en-GB"/>
              </w:rPr>
              <w:t xml:space="preserve">within and across </w:t>
            </w:r>
            <w:r w:rsidRPr="00090573">
              <w:rPr>
                <w:lang w:val="en-GB"/>
              </w:rPr>
              <w:t>your state’s postsecond</w:t>
            </w:r>
            <w:r>
              <w:rPr>
                <w:lang w:val="en-GB"/>
              </w:rPr>
              <w:t>ary system and/or institutions?</w:t>
            </w:r>
          </w:p>
          <w:p w14:paraId="5B0AD655" w14:textId="3648D09A" w:rsidR="000C763C" w:rsidRPr="00557453" w:rsidRDefault="000C763C" w:rsidP="00557453">
            <w:pPr>
              <w:pStyle w:val="ListParagraph"/>
              <w:numPr>
                <w:ilvl w:val="0"/>
                <w:numId w:val="26"/>
              </w:numPr>
              <w:spacing w:after="120"/>
              <w:ind w:left="469"/>
              <w:rPr>
                <w:lang w:val="en-GB"/>
              </w:rPr>
            </w:pPr>
            <w:r w:rsidRPr="00557453">
              <w:rPr>
                <w:lang w:val="en-GB"/>
              </w:rPr>
              <w:t>If none, what steps need to be taken to formalize agreements?</w:t>
            </w:r>
          </w:p>
        </w:tc>
        <w:tc>
          <w:tcPr>
            <w:tcW w:w="5027" w:type="dxa"/>
            <w:tcMar>
              <w:top w:w="72" w:type="dxa"/>
              <w:left w:w="115" w:type="dxa"/>
              <w:right w:w="115" w:type="dxa"/>
            </w:tcMar>
          </w:tcPr>
          <w:p w14:paraId="49CD6188" w14:textId="77777777" w:rsidR="000C763C" w:rsidRDefault="000C763C" w:rsidP="002D3018">
            <w:pPr>
              <w:pStyle w:val="Heading4"/>
              <w:outlineLvl w:val="3"/>
            </w:pPr>
          </w:p>
        </w:tc>
      </w:tr>
    </w:tbl>
    <w:p w14:paraId="2F3CB54E" w14:textId="77777777" w:rsidR="00645B9D" w:rsidRDefault="00645B9D" w:rsidP="00DC1721">
      <w:pPr>
        <w:pStyle w:val="Heading2"/>
        <w:sectPr w:rsidR="00645B9D" w:rsidSect="00D132A3">
          <w:type w:val="continuous"/>
          <w:pgSz w:w="12240" w:h="15840"/>
          <w:pgMar w:top="1440" w:right="1440" w:bottom="1440" w:left="1440" w:header="720" w:footer="720" w:gutter="0"/>
          <w:cols w:space="720"/>
          <w:titlePg/>
          <w:docGrid w:linePitch="360"/>
        </w:sectPr>
      </w:pPr>
    </w:p>
    <w:p w14:paraId="0B770701" w14:textId="77777777" w:rsidR="00645B9D" w:rsidRDefault="00645B9D" w:rsidP="00DC1721">
      <w:pPr>
        <w:pStyle w:val="Heading2"/>
        <w:sectPr w:rsidR="00645B9D" w:rsidSect="00D132A3">
          <w:type w:val="continuous"/>
          <w:pgSz w:w="12240" w:h="15840"/>
          <w:pgMar w:top="1440" w:right="1440" w:bottom="1440" w:left="1440" w:header="720" w:footer="720" w:gutter="0"/>
          <w:cols w:space="720"/>
          <w:titlePg/>
          <w:docGrid w:linePitch="360"/>
        </w:sectPr>
      </w:pPr>
    </w:p>
    <w:p w14:paraId="47F2A5A5" w14:textId="77777777" w:rsidR="00D25D30" w:rsidRDefault="00D25D30">
      <w:pPr>
        <w:spacing w:after="160" w:line="259" w:lineRule="auto"/>
        <w:rPr>
          <w:rFonts w:eastAsiaTheme="majorEastAsia" w:cstheme="majorBidi"/>
          <w:b/>
          <w:i/>
          <w:color w:val="FF6D14"/>
          <w:sz w:val="24"/>
          <w:szCs w:val="26"/>
        </w:rPr>
      </w:pPr>
      <w:r>
        <w:br w:type="page"/>
      </w:r>
    </w:p>
    <w:p w14:paraId="37C34E5B" w14:textId="630167A9" w:rsidR="006A0181" w:rsidRPr="00DC1721" w:rsidRDefault="00D21F48" w:rsidP="00DC1721">
      <w:pPr>
        <w:pStyle w:val="Heading2"/>
      </w:pPr>
      <w:bookmarkStart w:id="24" w:name="_Toc504573064"/>
      <w:r>
        <w:lastRenderedPageBreak/>
        <w:t>Section 3</w:t>
      </w:r>
      <w:r w:rsidR="00263E96" w:rsidRPr="00DC1721">
        <w:t xml:space="preserve">: </w:t>
      </w:r>
      <w:r w:rsidR="00F86111" w:rsidRPr="00DC1721">
        <w:t>Quality Programs of Study</w:t>
      </w:r>
      <w:bookmarkEnd w:id="24"/>
    </w:p>
    <w:p w14:paraId="5AA1D6F1" w14:textId="4E74F0DD" w:rsidR="000C3D6D" w:rsidRDefault="000C3D6D" w:rsidP="000C3D6D">
      <w:r>
        <w:t xml:space="preserve">Just as Perkins sets a minimum set of expectations for the number of programs of study in place, the federal law </w:t>
      </w:r>
      <w:r w:rsidR="0073209B">
        <w:t>also stays</w:t>
      </w:r>
      <w:r>
        <w:t xml:space="preserve"> fairly high</w:t>
      </w:r>
      <w:r w:rsidR="009D7878">
        <w:t xml:space="preserve"> </w:t>
      </w:r>
      <w:r>
        <w:t xml:space="preserve">level in how it defines the core components of a high-quality program of study. While the U.S. Department of Education has developed </w:t>
      </w:r>
      <w:r w:rsidR="0073209B">
        <w:t>some</w:t>
      </w:r>
      <w:r>
        <w:t xml:space="preserve"> </w:t>
      </w:r>
      <w:hyperlink r:id="rId40" w:history="1">
        <w:r w:rsidRPr="0073209B">
          <w:rPr>
            <w:rStyle w:val="Hyperlink"/>
          </w:rPr>
          <w:t>resources</w:t>
        </w:r>
      </w:hyperlink>
      <w:r>
        <w:t xml:space="preserve"> to help you define the process by which states design and approve programs of study, </w:t>
      </w:r>
      <w:r w:rsidR="009A54E0">
        <w:t xml:space="preserve">this is one area ripe for </w:t>
      </w:r>
      <w:r>
        <w:t xml:space="preserve">states to build on that framework to ensure the programs of study truly work for both learners and industry. </w:t>
      </w:r>
    </w:p>
    <w:p w14:paraId="0DBFCC3F" w14:textId="77777777" w:rsidR="00F86111" w:rsidRDefault="00F86111" w:rsidP="00B40966"/>
    <w:p w14:paraId="120B478F" w14:textId="77777777" w:rsidR="00B40966" w:rsidRPr="002A6387" w:rsidRDefault="008767B1" w:rsidP="002A6387">
      <w:pPr>
        <w:pStyle w:val="Heading3"/>
        <w:rPr>
          <w:b/>
        </w:rPr>
      </w:pPr>
      <w:bookmarkStart w:id="25" w:name="_Toc504573065"/>
      <w:r w:rsidRPr="002A6387">
        <w:rPr>
          <w:b/>
        </w:rPr>
        <w:t>CTE Standards</w:t>
      </w:r>
      <w:r w:rsidR="00F86111" w:rsidRPr="002A6387">
        <w:rPr>
          <w:b/>
        </w:rPr>
        <w:t xml:space="preserve"> &amp; Course Sequencing</w:t>
      </w:r>
      <w:bookmarkEnd w:id="25"/>
    </w:p>
    <w:p w14:paraId="55C4F50A" w14:textId="18F04208" w:rsidR="00E93942" w:rsidRDefault="00D86431" w:rsidP="000F627F">
      <w:pPr>
        <w:rPr>
          <w:bCs/>
          <w:lang w:val="en-GB"/>
        </w:rPr>
      </w:pPr>
      <w:r>
        <w:t>A</w:t>
      </w:r>
      <w:r w:rsidR="00F86111">
        <w:t xml:space="preserve">ny program of study must begin with rigorous standards </w:t>
      </w:r>
      <w:r>
        <w:t>that are organized into</w:t>
      </w:r>
      <w:r w:rsidR="00F86111">
        <w:t xml:space="preserve"> progressive, sequenced courses that span secondary and postsecondary systems. These are the </w:t>
      </w:r>
      <w:r w:rsidR="00F274BC">
        <w:t xml:space="preserve">essential </w:t>
      </w:r>
      <w:r w:rsidR="00F86111">
        <w:t>building blocks of a strong program of study</w:t>
      </w:r>
      <w:r w:rsidR="00F274BC">
        <w:t xml:space="preserve"> and differentiate a program of study from a CTE program</w:t>
      </w:r>
      <w:r w:rsidR="00F86111">
        <w:t xml:space="preserve">. </w:t>
      </w:r>
      <w:r w:rsidR="00E93942" w:rsidRPr="00BE7FE4">
        <w:rPr>
          <w:rFonts w:cs="Times New Roman"/>
          <w:color w:val="222222"/>
          <w:szCs w:val="26"/>
        </w:rPr>
        <w:t xml:space="preserve">Through an intentional sequence of courses and experiences, programs of study can offer invaluable opportunities for </w:t>
      </w:r>
      <w:r w:rsidR="009B2041">
        <w:rPr>
          <w:rFonts w:cs="Times New Roman"/>
          <w:color w:val="222222"/>
          <w:szCs w:val="26"/>
        </w:rPr>
        <w:t>learners</w:t>
      </w:r>
      <w:r w:rsidR="00E93942" w:rsidRPr="00BE7FE4">
        <w:rPr>
          <w:rFonts w:cs="Times New Roman"/>
          <w:color w:val="222222"/>
          <w:szCs w:val="26"/>
        </w:rPr>
        <w:t xml:space="preserve"> to experience a subject that they are passionate about and explore interests that lead to postsecondary credentialing and future career paths.</w:t>
      </w:r>
      <w:r w:rsidR="00E93942" w:rsidRPr="00B331FF">
        <w:rPr>
          <w:rFonts w:cs="Times New Roman"/>
          <w:color w:val="222222"/>
          <w:szCs w:val="26"/>
        </w:rPr>
        <w:t xml:space="preserve">  </w:t>
      </w:r>
    </w:p>
    <w:p w14:paraId="7FF97465" w14:textId="77777777" w:rsidR="00F86111" w:rsidRDefault="00F86111" w:rsidP="000F627F">
      <w:pPr>
        <w:rPr>
          <w:bCs/>
          <w:lang w:val="en-GB"/>
        </w:rPr>
      </w:pPr>
    </w:p>
    <w:p w14:paraId="1FF338E2" w14:textId="77777777" w:rsidR="00F86111" w:rsidRDefault="00F86111" w:rsidP="00F86111">
      <w:pPr>
        <w:pBdr>
          <w:top w:val="single" w:sz="4" w:space="1" w:color="auto"/>
          <w:left w:val="single" w:sz="4" w:space="4" w:color="auto"/>
          <w:bottom w:val="single" w:sz="4" w:space="0" w:color="auto"/>
          <w:right w:val="single" w:sz="4" w:space="4" w:color="auto"/>
        </w:pBdr>
      </w:pPr>
      <w:r w:rsidRPr="00243EA2">
        <w:rPr>
          <w:b/>
          <w:i/>
          <w:color w:val="009AA6"/>
        </w:rPr>
        <w:t>Helpful Resource</w:t>
      </w:r>
      <w:r w:rsidRPr="00243EA2">
        <w:rPr>
          <w:color w:val="009AA6"/>
        </w:rPr>
        <w:t>:</w:t>
      </w:r>
      <w:r>
        <w:t xml:space="preserve"> </w:t>
      </w:r>
      <w:r w:rsidRPr="00D86431">
        <w:rPr>
          <w:i/>
        </w:rPr>
        <w:t>The State of Career Technical Education: An Analysis of State CTE Standards</w:t>
      </w:r>
      <w:r>
        <w:t xml:space="preserve">: </w:t>
      </w:r>
      <w:hyperlink r:id="rId41" w:history="1">
        <w:r w:rsidRPr="005D2F33">
          <w:rPr>
            <w:rStyle w:val="Hyperlink"/>
          </w:rPr>
          <w:t>https://careertech.org/resources/state-cte-standards</w:t>
        </w:r>
      </w:hyperlink>
      <w:r>
        <w:t xml:space="preserve"> </w:t>
      </w:r>
    </w:p>
    <w:p w14:paraId="50DA090C" w14:textId="77777777" w:rsidR="00F86111" w:rsidRDefault="00F86111" w:rsidP="00F86111">
      <w:pPr>
        <w:pBdr>
          <w:top w:val="single" w:sz="4" w:space="1" w:color="auto"/>
          <w:left w:val="single" w:sz="4" w:space="4" w:color="auto"/>
          <w:bottom w:val="single" w:sz="4" w:space="0" w:color="auto"/>
          <w:right w:val="single" w:sz="4" w:space="4" w:color="auto"/>
        </w:pBdr>
      </w:pPr>
    </w:p>
    <w:p w14:paraId="5799EE1F" w14:textId="3191E2C5" w:rsidR="00F86111" w:rsidRDefault="00F86111" w:rsidP="00F86111">
      <w:pPr>
        <w:pBdr>
          <w:top w:val="single" w:sz="4" w:space="1" w:color="auto"/>
          <w:left w:val="single" w:sz="4" w:space="4" w:color="auto"/>
          <w:bottom w:val="single" w:sz="4" w:space="0" w:color="auto"/>
          <w:right w:val="single" w:sz="4" w:space="4" w:color="auto"/>
        </w:pBdr>
      </w:pPr>
      <w:r>
        <w:t xml:space="preserve">In 2013, Advance CTE </w:t>
      </w:r>
      <w:r w:rsidR="009A54E0">
        <w:t>analyzed</w:t>
      </w:r>
      <w:r>
        <w:t xml:space="preserve"> state CTE standards </w:t>
      </w:r>
      <w:r w:rsidR="009D7878">
        <w:t xml:space="preserve">against </w:t>
      </w:r>
      <w:r>
        <w:t>the Common Career Technical Core, a set of end of program of study standards. Contact</w:t>
      </w:r>
      <w:r w:rsidR="009D7878">
        <w:t xml:space="preserve"> Advance CTE’s Deputy Executive Director Kate Kreamer at</w:t>
      </w:r>
      <w:r>
        <w:t xml:space="preserve"> </w:t>
      </w:r>
      <w:hyperlink r:id="rId42" w:history="1">
        <w:r w:rsidRPr="005D2F33">
          <w:rPr>
            <w:rStyle w:val="Hyperlink"/>
          </w:rPr>
          <w:t>kkreamer@careertech.org</w:t>
        </w:r>
      </w:hyperlink>
      <w:r>
        <w:t xml:space="preserve"> to access your state-specific analysis.</w:t>
      </w:r>
    </w:p>
    <w:p w14:paraId="4750F028" w14:textId="77777777" w:rsidR="00F86111" w:rsidRPr="00F86111" w:rsidRDefault="00F86111" w:rsidP="000F627F">
      <w:pPr>
        <w:rPr>
          <w:b/>
          <w:bCs/>
          <w:lang w:val="en-GB"/>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BE7FE4" w14:paraId="57E26B1D" w14:textId="77777777" w:rsidTr="00A420EB">
        <w:trPr>
          <w:trHeight w:val="49"/>
        </w:trPr>
        <w:tc>
          <w:tcPr>
            <w:tcW w:w="1710" w:type="dxa"/>
            <w:shd w:val="clear" w:color="auto" w:fill="F2F2F2" w:themeFill="background1" w:themeFillShade="F2"/>
            <w:tcMar>
              <w:top w:w="72" w:type="dxa"/>
              <w:left w:w="115" w:type="dxa"/>
              <w:right w:w="115" w:type="dxa"/>
            </w:tcMar>
          </w:tcPr>
          <w:p w14:paraId="071A00A8" w14:textId="77777777" w:rsidR="00BE7FE4" w:rsidRPr="006169A9" w:rsidRDefault="00BE7FE4" w:rsidP="00AF2473">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0B97E382" w14:textId="54CCCD46" w:rsidR="00D86431" w:rsidRDefault="00D86431" w:rsidP="00D86431">
            <w:pPr>
              <w:rPr>
                <w:bCs/>
                <w:lang w:val="en-GB"/>
              </w:rPr>
            </w:pPr>
            <w:r w:rsidRPr="00B16374">
              <w:rPr>
                <w:bCs/>
                <w:lang w:val="en-GB"/>
              </w:rPr>
              <w:t xml:space="preserve">Any program of study must start with rigorous </w:t>
            </w:r>
            <w:r w:rsidRPr="0073209B">
              <w:rPr>
                <w:b/>
                <w:bCs/>
                <w:lang w:val="en-GB"/>
              </w:rPr>
              <w:t>standards</w:t>
            </w:r>
            <w:r w:rsidRPr="00B16374">
              <w:rPr>
                <w:bCs/>
                <w:lang w:val="en-GB"/>
              </w:rPr>
              <w:t xml:space="preserve"> that encompass the core academic, technical and employability knowledge and skills </w:t>
            </w:r>
            <w:r w:rsidR="00F942BE">
              <w:rPr>
                <w:bCs/>
                <w:lang w:val="en-GB"/>
              </w:rPr>
              <w:t>learners</w:t>
            </w:r>
            <w:r w:rsidRPr="00B16374">
              <w:rPr>
                <w:bCs/>
                <w:lang w:val="en-GB"/>
              </w:rPr>
              <w:t xml:space="preserve"> will need to be prepared. </w:t>
            </w:r>
            <w:r>
              <w:rPr>
                <w:bCs/>
                <w:lang w:val="en-GB"/>
              </w:rPr>
              <w:t xml:space="preserve">Standards are a particularly powerful lever for states – particularly at the secondary level – given the high degree of state authority in standards development and adoption. The challenge is ensuring those standards are rigorous, relevant and learner-centered – and have the breadth and depth to support a full program of study.  </w:t>
            </w:r>
          </w:p>
          <w:p w14:paraId="5CFFA7B9" w14:textId="77777777" w:rsidR="00D86431" w:rsidRDefault="00D86431" w:rsidP="00D86431">
            <w:pPr>
              <w:rPr>
                <w:bCs/>
                <w:lang w:val="en-GB"/>
              </w:rPr>
            </w:pPr>
          </w:p>
          <w:p w14:paraId="56D25892" w14:textId="10ADCE0A" w:rsidR="00BE7FE4" w:rsidRPr="00561882" w:rsidRDefault="00EE319E" w:rsidP="00BE7FE4">
            <w:r w:rsidRPr="00B16374">
              <w:rPr>
                <w:bCs/>
                <w:lang w:val="en-GB"/>
              </w:rPr>
              <w:t xml:space="preserve">The vast majority of states do have state-approved CTE </w:t>
            </w:r>
            <w:r w:rsidRPr="0073209B">
              <w:rPr>
                <w:bCs/>
                <w:lang w:val="en-GB"/>
              </w:rPr>
              <w:t>standards</w:t>
            </w:r>
            <w:r w:rsidRPr="00B16374">
              <w:rPr>
                <w:bCs/>
                <w:lang w:val="en-GB"/>
              </w:rPr>
              <w:t xml:space="preserve">. </w:t>
            </w:r>
            <w:r w:rsidR="00B16374" w:rsidRPr="00B16374">
              <w:rPr>
                <w:bCs/>
                <w:lang w:val="en-GB"/>
              </w:rPr>
              <w:t xml:space="preserve"> </w:t>
            </w:r>
            <w:r w:rsidR="00B16374">
              <w:rPr>
                <w:bCs/>
                <w:lang w:val="en-GB"/>
              </w:rPr>
              <w:t>I</w:t>
            </w:r>
            <w:r w:rsidR="00B16374" w:rsidRPr="00B16374">
              <w:rPr>
                <w:bCs/>
                <w:lang w:val="en-GB"/>
              </w:rPr>
              <w:t>n fact,</w:t>
            </w:r>
            <w:r w:rsidR="002D3018">
              <w:rPr>
                <w:bCs/>
                <w:lang w:val="en-GB"/>
              </w:rPr>
              <w:t xml:space="preserve"> as of 2013,</w:t>
            </w:r>
            <w:r w:rsidR="00B16374" w:rsidRPr="00B16374">
              <w:rPr>
                <w:bCs/>
                <w:lang w:val="en-GB"/>
              </w:rPr>
              <w:t xml:space="preserve"> </w:t>
            </w:r>
            <w:r w:rsidR="00B16374">
              <w:t>46 states and three territories ha</w:t>
            </w:r>
            <w:r w:rsidR="002D3018">
              <w:t>d</w:t>
            </w:r>
            <w:r w:rsidR="00B16374">
              <w:t xml:space="preserve"> state-approved secondary CTE standards and 1</w:t>
            </w:r>
            <w:r w:rsidR="00F942BE">
              <w:t>3 states and two territories had</w:t>
            </w:r>
            <w:r w:rsidR="00B16374">
              <w:t xml:space="preserve"> state-approved postsecondary standards. Only two states and one territory have CTE standards that are fully aligned between secondary and postsecondary systems.</w:t>
            </w:r>
            <w:r w:rsidR="002D3018">
              <w:rPr>
                <w:rStyle w:val="FootnoteReference"/>
              </w:rPr>
              <w:footnoteReference w:id="4"/>
            </w:r>
          </w:p>
          <w:p w14:paraId="5E9CB640" w14:textId="77777777" w:rsidR="00BE7FE4" w:rsidRDefault="00BE7FE4" w:rsidP="00BE7FE4">
            <w:pPr>
              <w:rPr>
                <w:b/>
                <w:bCs/>
                <w:lang w:val="en-GB"/>
              </w:rPr>
            </w:pPr>
          </w:p>
          <w:p w14:paraId="2AD99B1F" w14:textId="2660E875" w:rsidR="00EE319E" w:rsidRDefault="00B16374" w:rsidP="00BE7FE4">
            <w:pPr>
              <w:rPr>
                <w:bCs/>
                <w:lang w:val="en-GB"/>
              </w:rPr>
            </w:pPr>
            <w:r>
              <w:rPr>
                <w:bCs/>
                <w:lang w:val="en-GB"/>
              </w:rPr>
              <w:t>However, having standards in place does not mean that they are truly supp</w:t>
            </w:r>
            <w:r w:rsidR="000F627F">
              <w:rPr>
                <w:bCs/>
                <w:lang w:val="en-GB"/>
              </w:rPr>
              <w:t xml:space="preserve">orting a full program of study or </w:t>
            </w:r>
            <w:r>
              <w:rPr>
                <w:bCs/>
                <w:lang w:val="en-GB"/>
              </w:rPr>
              <w:t>meeting learners’ need</w:t>
            </w:r>
            <w:r w:rsidR="00561882">
              <w:rPr>
                <w:bCs/>
                <w:lang w:val="en-GB"/>
              </w:rPr>
              <w:t>s</w:t>
            </w:r>
            <w:r>
              <w:rPr>
                <w:bCs/>
                <w:lang w:val="en-GB"/>
              </w:rPr>
              <w:t xml:space="preserve">. </w:t>
            </w:r>
            <w:r w:rsidR="00EE319E" w:rsidRPr="00EE319E">
              <w:rPr>
                <w:bCs/>
                <w:lang w:val="en-GB"/>
              </w:rPr>
              <w:t>To get you started, consider the following characteristics of more “basic” vs. more “rigorous” CTE standards:</w:t>
            </w:r>
          </w:p>
          <w:p w14:paraId="7920BAFE" w14:textId="77777777" w:rsidR="009D7878" w:rsidRDefault="009D7878" w:rsidP="00BE7FE4">
            <w:pPr>
              <w:rPr>
                <w:bCs/>
                <w:lang w:val="en-GB"/>
              </w:rPr>
            </w:pPr>
          </w:p>
          <w:p w14:paraId="77B28E18" w14:textId="77777777" w:rsidR="009D7878" w:rsidRPr="009D7878" w:rsidRDefault="009D7878" w:rsidP="009D7878">
            <w:pPr>
              <w:rPr>
                <w:bCs/>
                <w:i/>
              </w:rPr>
            </w:pPr>
            <w:r w:rsidRPr="009D7878">
              <w:rPr>
                <w:bCs/>
                <w:i/>
                <w:lang w:val="en-GB"/>
              </w:rPr>
              <w:t>Characteristics of Basic CTE Content Standards</w:t>
            </w:r>
          </w:p>
          <w:p w14:paraId="1802173F" w14:textId="77777777" w:rsidR="009D7878" w:rsidRPr="009D7878" w:rsidRDefault="009D7878" w:rsidP="009D7878">
            <w:pPr>
              <w:numPr>
                <w:ilvl w:val="0"/>
                <w:numId w:val="10"/>
              </w:numPr>
              <w:rPr>
                <w:bCs/>
              </w:rPr>
            </w:pPr>
            <w:r w:rsidRPr="009D7878">
              <w:rPr>
                <w:bCs/>
                <w:lang w:val="en-GB"/>
              </w:rPr>
              <w:t>Provide general statements about knowledge or skills within the occupation</w:t>
            </w:r>
          </w:p>
          <w:p w14:paraId="23428E5A" w14:textId="77777777" w:rsidR="009D7878" w:rsidRPr="009D7878" w:rsidRDefault="009D7878" w:rsidP="009D7878">
            <w:pPr>
              <w:numPr>
                <w:ilvl w:val="0"/>
                <w:numId w:val="10"/>
              </w:numPr>
              <w:rPr>
                <w:bCs/>
              </w:rPr>
            </w:pPr>
            <w:r w:rsidRPr="009D7878">
              <w:rPr>
                <w:bCs/>
                <w:lang w:val="en-GB"/>
              </w:rPr>
              <w:t>Serve as a “checklists” of whether learners were exposed to content</w:t>
            </w:r>
          </w:p>
          <w:p w14:paraId="4B5BCA97" w14:textId="77777777" w:rsidR="009D7878" w:rsidRPr="009D7878" w:rsidRDefault="009D7878" w:rsidP="009D7878">
            <w:pPr>
              <w:numPr>
                <w:ilvl w:val="0"/>
                <w:numId w:val="10"/>
              </w:numPr>
              <w:rPr>
                <w:bCs/>
              </w:rPr>
            </w:pPr>
            <w:r w:rsidRPr="009D7878">
              <w:rPr>
                <w:bCs/>
                <w:lang w:val="en-GB"/>
              </w:rPr>
              <w:t>Provide basic skills competencies needed</w:t>
            </w:r>
          </w:p>
          <w:p w14:paraId="1B77F007" w14:textId="77777777" w:rsidR="009D7878" w:rsidRPr="009D7878" w:rsidRDefault="009D7878" w:rsidP="009D7878">
            <w:pPr>
              <w:numPr>
                <w:ilvl w:val="0"/>
                <w:numId w:val="10"/>
              </w:numPr>
              <w:rPr>
                <w:bCs/>
              </w:rPr>
            </w:pPr>
            <w:r w:rsidRPr="009D7878">
              <w:rPr>
                <w:bCs/>
                <w:lang w:val="en-GB"/>
              </w:rPr>
              <w:t>May require students to learn additional content in order to be successful in postsecondary coursework and/or industry certifications</w:t>
            </w:r>
          </w:p>
          <w:p w14:paraId="634008F8" w14:textId="77777777" w:rsidR="009D7878" w:rsidRPr="009D7878" w:rsidRDefault="009D7878" w:rsidP="009D7878">
            <w:pPr>
              <w:rPr>
                <w:bCs/>
              </w:rPr>
            </w:pPr>
          </w:p>
          <w:p w14:paraId="2AA4F66D" w14:textId="77777777" w:rsidR="009D7878" w:rsidRPr="009D7878" w:rsidRDefault="009D7878" w:rsidP="009D7878">
            <w:pPr>
              <w:rPr>
                <w:bCs/>
                <w:i/>
              </w:rPr>
            </w:pPr>
            <w:r w:rsidRPr="009D7878">
              <w:rPr>
                <w:bCs/>
                <w:i/>
                <w:lang w:val="en-GB"/>
              </w:rPr>
              <w:t>Characteristics of Rigorous, Relevant, and Learner-Focused Standards</w:t>
            </w:r>
          </w:p>
          <w:p w14:paraId="158E6F65" w14:textId="77777777" w:rsidR="009D7878" w:rsidRPr="009D7878" w:rsidRDefault="009D7878" w:rsidP="009D7878">
            <w:pPr>
              <w:numPr>
                <w:ilvl w:val="0"/>
                <w:numId w:val="11"/>
              </w:numPr>
              <w:rPr>
                <w:bCs/>
              </w:rPr>
            </w:pPr>
            <w:r w:rsidRPr="009D7878">
              <w:rPr>
                <w:bCs/>
                <w:lang w:val="en-GB"/>
              </w:rPr>
              <w:t>Provide specific statements about what a learner should know and be able to do related to the occupation</w:t>
            </w:r>
          </w:p>
          <w:p w14:paraId="14542739" w14:textId="77777777" w:rsidR="009D7878" w:rsidRPr="009D7878" w:rsidRDefault="009D7878" w:rsidP="009D7878">
            <w:pPr>
              <w:numPr>
                <w:ilvl w:val="0"/>
                <w:numId w:val="11"/>
              </w:numPr>
              <w:rPr>
                <w:bCs/>
              </w:rPr>
            </w:pPr>
            <w:r w:rsidRPr="009D7878">
              <w:rPr>
                <w:bCs/>
                <w:lang w:val="en-GB"/>
              </w:rPr>
              <w:t xml:space="preserve">Sequentially build upon prior knowledge and skills, both from prior course and within the course content </w:t>
            </w:r>
          </w:p>
          <w:p w14:paraId="7B716BA7" w14:textId="77777777" w:rsidR="009D7878" w:rsidRPr="009D7878" w:rsidRDefault="009D7878" w:rsidP="009D7878">
            <w:pPr>
              <w:numPr>
                <w:ilvl w:val="0"/>
                <w:numId w:val="11"/>
              </w:numPr>
              <w:rPr>
                <w:bCs/>
              </w:rPr>
            </w:pPr>
            <w:r w:rsidRPr="009D7878">
              <w:rPr>
                <w:bCs/>
                <w:lang w:val="en-GB"/>
              </w:rPr>
              <w:t>Embed and integrate academic, technical, and employability skills</w:t>
            </w:r>
          </w:p>
          <w:p w14:paraId="493BDD7A" w14:textId="77777777" w:rsidR="009D7878" w:rsidRPr="009D7878" w:rsidRDefault="009D7878" w:rsidP="009D7878">
            <w:pPr>
              <w:numPr>
                <w:ilvl w:val="0"/>
                <w:numId w:val="11"/>
              </w:numPr>
              <w:rPr>
                <w:bCs/>
              </w:rPr>
            </w:pPr>
            <w:r w:rsidRPr="009D7878">
              <w:rPr>
                <w:bCs/>
                <w:lang w:val="en-GB"/>
              </w:rPr>
              <w:t>Directly align to expectations of industry and postsecondary (for secondary level) to allow for learners to seamlessly transition (e.g., student is qualified to sit for nationally recognized and aligned industry certification).</w:t>
            </w:r>
          </w:p>
          <w:p w14:paraId="18AC7C3F" w14:textId="77777777" w:rsidR="009D7878" w:rsidRPr="00EE319E" w:rsidRDefault="009D7878" w:rsidP="00BE7FE4">
            <w:pPr>
              <w:rPr>
                <w:bCs/>
                <w:lang w:val="en-GB"/>
              </w:rPr>
            </w:pPr>
          </w:p>
          <w:p w14:paraId="2C273815" w14:textId="6EC29D9A" w:rsidR="00F86111" w:rsidRPr="00546147" w:rsidRDefault="00F86111" w:rsidP="00F86111">
            <w:pPr>
              <w:textAlignment w:val="baseline"/>
              <w:rPr>
                <w:rFonts w:eastAsia="Times New Roman" w:cs="Arial"/>
                <w:color w:val="000000"/>
              </w:rPr>
            </w:pPr>
            <w:r>
              <w:rPr>
                <w:rFonts w:eastAsia="Times New Roman" w:cs="Arial"/>
                <w:color w:val="000000"/>
              </w:rPr>
              <w:t xml:space="preserve">CTE programs of study are not just a collection of CTE courses, but rather are an </w:t>
            </w:r>
            <w:r w:rsidRPr="00F942BE">
              <w:rPr>
                <w:rFonts w:eastAsia="Times New Roman" w:cs="Arial"/>
                <w:b/>
                <w:color w:val="000000"/>
              </w:rPr>
              <w:t xml:space="preserve">intentional </w:t>
            </w:r>
            <w:r w:rsidR="00606BD0" w:rsidRPr="00F942BE">
              <w:rPr>
                <w:rFonts w:eastAsia="Times New Roman" w:cs="Arial"/>
                <w:b/>
                <w:color w:val="000000"/>
              </w:rPr>
              <w:t>sequence</w:t>
            </w:r>
            <w:r>
              <w:rPr>
                <w:rFonts w:eastAsia="Times New Roman" w:cs="Arial"/>
                <w:color w:val="000000"/>
              </w:rPr>
              <w:t xml:space="preserve"> that builds on </w:t>
            </w:r>
            <w:r w:rsidRPr="00D92316">
              <w:rPr>
                <w:rFonts w:eastAsia="Times New Roman" w:cs="Arial"/>
                <w:color w:val="000000"/>
              </w:rPr>
              <w:t>competencies gaine</w:t>
            </w:r>
            <w:r>
              <w:rPr>
                <w:rFonts w:eastAsia="Times New Roman" w:cs="Arial"/>
                <w:color w:val="000000"/>
              </w:rPr>
              <w:t>d</w:t>
            </w:r>
            <w:r w:rsidRPr="00D92316">
              <w:rPr>
                <w:rFonts w:eastAsia="Times New Roman" w:cs="Arial"/>
                <w:color w:val="000000"/>
              </w:rPr>
              <w:t xml:space="preserve"> in previous courses</w:t>
            </w:r>
            <w:r>
              <w:rPr>
                <w:rFonts w:eastAsia="Times New Roman" w:cs="Arial"/>
                <w:color w:val="000000"/>
              </w:rPr>
              <w:t xml:space="preserve"> to ensure a progression of learning occurs. States support and ensure sequenced programs of study through standards adoption, program approval and even graduation</w:t>
            </w:r>
            <w:r w:rsidR="00F274BC">
              <w:rPr>
                <w:rFonts w:eastAsia="Times New Roman" w:cs="Arial"/>
                <w:color w:val="000000"/>
              </w:rPr>
              <w:t>/degree</w:t>
            </w:r>
            <w:r>
              <w:rPr>
                <w:rFonts w:eastAsia="Times New Roman" w:cs="Arial"/>
                <w:color w:val="000000"/>
              </w:rPr>
              <w:t xml:space="preserve"> requirements. </w:t>
            </w:r>
          </w:p>
          <w:p w14:paraId="779F4422" w14:textId="77777777" w:rsidR="00F86111" w:rsidRDefault="00F86111" w:rsidP="00F86111">
            <w:pPr>
              <w:rPr>
                <w:lang w:val="en-GB"/>
              </w:rPr>
            </w:pPr>
          </w:p>
          <w:p w14:paraId="3405C9A2" w14:textId="55CD7591" w:rsidR="00F86111" w:rsidRDefault="00F86111" w:rsidP="00F86111">
            <w:pPr>
              <w:rPr>
                <w:lang w:val="en-GB"/>
              </w:rPr>
            </w:pPr>
            <w:r>
              <w:rPr>
                <w:lang w:val="en-GB"/>
              </w:rPr>
              <w:t xml:space="preserve">States should adopt CTE courses or programs with an eye towards the sequence of experiences and skills learners should gain. They should also consider flexibility – or “permeability” that allows </w:t>
            </w:r>
            <w:r w:rsidR="009B2041">
              <w:rPr>
                <w:lang w:val="en-GB"/>
              </w:rPr>
              <w:t>learners</w:t>
            </w:r>
            <w:r>
              <w:rPr>
                <w:lang w:val="en-GB"/>
              </w:rPr>
              <w:t xml:space="preserve"> to explore introductory CTE coursework in early years and progress into more industry-specific courses towards the end of secondary and into postsecondary. </w:t>
            </w:r>
          </w:p>
          <w:p w14:paraId="2282F278" w14:textId="77777777" w:rsidR="00F86111" w:rsidRDefault="00F86111" w:rsidP="00F86111">
            <w:pPr>
              <w:rPr>
                <w:lang w:val="en-GB"/>
              </w:rPr>
            </w:pPr>
          </w:p>
          <w:p w14:paraId="149CA13D" w14:textId="27A632A1" w:rsidR="00A420EB" w:rsidRPr="00BF67C8" w:rsidRDefault="00F86111" w:rsidP="00BF67C8">
            <w:pPr>
              <w:spacing w:after="120"/>
              <w:rPr>
                <w:lang w:val="en-GB"/>
              </w:rPr>
            </w:pPr>
            <w:r>
              <w:rPr>
                <w:lang w:val="en-GB"/>
              </w:rPr>
              <w:t xml:space="preserve">Advance CTE has created plans of study for all 16 Career Clusters and 79 Career Pathways, which many states have modified to </w:t>
            </w:r>
            <w:r w:rsidR="007032C4">
              <w:rPr>
                <w:lang w:val="en-GB"/>
              </w:rPr>
              <w:t xml:space="preserve">map out their programs of study: </w:t>
            </w:r>
            <w:hyperlink r:id="rId43" w:history="1">
              <w:r w:rsidR="007032C4" w:rsidRPr="00375684">
                <w:rPr>
                  <w:rStyle w:val="Hyperlink"/>
                  <w:lang w:val="en-GB"/>
                </w:rPr>
                <w:t>www.careertech.org/career-clusters</w:t>
              </w:r>
            </w:hyperlink>
            <w:r w:rsidR="007032C4">
              <w:rPr>
                <w:lang w:val="en-GB"/>
              </w:rPr>
              <w:t xml:space="preserve"> </w:t>
            </w:r>
          </w:p>
        </w:tc>
      </w:tr>
      <w:tr w:rsidR="00BE7FE4" w14:paraId="67B70EE3" w14:textId="77777777" w:rsidTr="00A420EB">
        <w:trPr>
          <w:trHeight w:val="609"/>
        </w:trPr>
        <w:tc>
          <w:tcPr>
            <w:tcW w:w="1710" w:type="dxa"/>
            <w:shd w:val="clear" w:color="auto" w:fill="D5FCFF"/>
            <w:tcMar>
              <w:top w:w="72" w:type="dxa"/>
              <w:left w:w="115" w:type="dxa"/>
              <w:right w:w="115" w:type="dxa"/>
            </w:tcMar>
          </w:tcPr>
          <w:p w14:paraId="24341C17" w14:textId="77777777" w:rsidR="00BE7FE4" w:rsidRPr="006169A9" w:rsidRDefault="00BE7FE4" w:rsidP="00AF2473">
            <w:pPr>
              <w:rPr>
                <w:b/>
              </w:rPr>
            </w:pPr>
            <w:r>
              <w:rPr>
                <w:b/>
              </w:rPr>
              <w:lastRenderedPageBreak/>
              <w:t xml:space="preserve">State Example </w:t>
            </w:r>
          </w:p>
        </w:tc>
        <w:tc>
          <w:tcPr>
            <w:tcW w:w="7758" w:type="dxa"/>
            <w:shd w:val="clear" w:color="auto" w:fill="D5FCFF"/>
            <w:tcMar>
              <w:top w:w="72" w:type="dxa"/>
              <w:left w:w="115" w:type="dxa"/>
              <w:right w:w="115" w:type="dxa"/>
            </w:tcMar>
          </w:tcPr>
          <w:p w14:paraId="60CF7EF2" w14:textId="77777777" w:rsidR="00340C53" w:rsidRDefault="00340C53" w:rsidP="00340C53">
            <w:r w:rsidRPr="00B16374">
              <w:rPr>
                <w:b/>
              </w:rPr>
              <w:t>Florida</w:t>
            </w:r>
            <w:r>
              <w:t xml:space="preserve"> delivers CTE programs and courses through three different systems – secondary, postsecondary/adult vocational (PSAV), and postsecondary degree/certificate programs. The state maintains a separate set of industry-driven CTE standards (i.e., curriculum frameworks) for each of its delivery systems; however, the three sets of CTE standards are developed concurrently by the same committee of business/industry, secondary and postsecondary representatives.</w:t>
            </w:r>
          </w:p>
          <w:p w14:paraId="134606F9" w14:textId="77777777" w:rsidR="00340C53" w:rsidRDefault="00934C08" w:rsidP="00340C53">
            <w:hyperlink r:id="rId44" w:history="1">
              <w:r w:rsidR="00340C53" w:rsidRPr="00F942BE">
                <w:rPr>
                  <w:rStyle w:val="Hyperlink"/>
                </w:rPr>
                <w:t>Link</w:t>
              </w:r>
            </w:hyperlink>
          </w:p>
          <w:p w14:paraId="00863802" w14:textId="77777777" w:rsidR="00340C53" w:rsidRDefault="00340C53" w:rsidP="00340C53"/>
          <w:p w14:paraId="7E266F0D" w14:textId="5F8E97ED" w:rsidR="009D7878" w:rsidRDefault="00BE7FE4" w:rsidP="00BE7FE4">
            <w:r w:rsidRPr="00BE7FE4">
              <w:rPr>
                <w:b/>
              </w:rPr>
              <w:t>Tennessee</w:t>
            </w:r>
            <w:r>
              <w:t xml:space="preserve"> leveraged its standards revision process to completely redesign its </w:t>
            </w:r>
            <w:r w:rsidR="00340C53">
              <w:t xml:space="preserve">secondary </w:t>
            </w:r>
            <w:r>
              <w:t>CTE offerings around programs of study</w:t>
            </w:r>
            <w:r w:rsidR="002D3018">
              <w:t>.</w:t>
            </w:r>
          </w:p>
          <w:p w14:paraId="62855F78" w14:textId="22A7B5AC" w:rsidR="00BE7FE4" w:rsidRDefault="00934C08" w:rsidP="00BE7FE4">
            <w:hyperlink r:id="rId45" w:history="1">
              <w:r w:rsidR="009D7878" w:rsidRPr="009D7878">
                <w:rPr>
                  <w:rStyle w:val="Hyperlink"/>
                </w:rPr>
                <w:t>Link</w:t>
              </w:r>
            </w:hyperlink>
            <w:r w:rsidR="00340C53">
              <w:t xml:space="preserve"> </w:t>
            </w:r>
          </w:p>
          <w:p w14:paraId="3EB1EA80" w14:textId="77777777" w:rsidR="00F86111" w:rsidRDefault="00F86111" w:rsidP="00AF2473"/>
          <w:p w14:paraId="4A7E10B5" w14:textId="7FB87939" w:rsidR="00F86111" w:rsidRDefault="00F86111">
            <w:pPr>
              <w:rPr>
                <w:rStyle w:val="Hyperlink"/>
              </w:rPr>
            </w:pPr>
            <w:r w:rsidRPr="00243EA2">
              <w:rPr>
                <w:b/>
              </w:rPr>
              <w:t>Georgia</w:t>
            </w:r>
            <w:r>
              <w:t xml:space="preserve"> has designed its programs of study around the 16 Career Clusters (</w:t>
            </w:r>
            <w:r w:rsidR="00B131B1">
              <w:t>plus</w:t>
            </w:r>
            <w:r>
              <w:t xml:space="preserve"> a 17</w:t>
            </w:r>
            <w:r w:rsidRPr="00243EA2">
              <w:rPr>
                <w:vertAlign w:val="superscript"/>
              </w:rPr>
              <w:t>th</w:t>
            </w:r>
            <w:r>
              <w:t xml:space="preserve"> Career Cluster in Energy) and 130 career pathways. Within each of the pathways, many of the programs of study begin with the same introductory-level course and then differentiate based on the program area and aligned industry expectations. This provides opportunities for </w:t>
            </w:r>
            <w:r w:rsidR="009B2041">
              <w:t>learners</w:t>
            </w:r>
            <w:r>
              <w:t xml:space="preserve"> to explore various pathways through one course and make more informed decisions about their programs along the way. </w:t>
            </w:r>
          </w:p>
          <w:p w14:paraId="6153D248" w14:textId="77777777" w:rsidR="00DE27E4" w:rsidRDefault="00934C08" w:rsidP="00BF67C8">
            <w:pPr>
              <w:spacing w:after="120"/>
            </w:pPr>
            <w:hyperlink r:id="rId46" w:history="1">
              <w:r w:rsidR="00DE27E4" w:rsidRPr="00DE27E4">
                <w:rPr>
                  <w:rStyle w:val="Hyperlink"/>
                </w:rPr>
                <w:t>Link</w:t>
              </w:r>
            </w:hyperlink>
          </w:p>
        </w:tc>
      </w:tr>
    </w:tbl>
    <w:p w14:paraId="5954FFDB" w14:textId="77777777" w:rsidR="009454A1" w:rsidRDefault="009454A1" w:rsidP="002A6387">
      <w:pPr>
        <w:pStyle w:val="Heading3"/>
        <w:rPr>
          <w:b/>
        </w:rPr>
        <w:sectPr w:rsidR="009454A1" w:rsidSect="00D132A3">
          <w:type w:val="continuous"/>
          <w:pgSz w:w="12240" w:h="15840"/>
          <w:pgMar w:top="1440" w:right="1440" w:bottom="1440" w:left="1440" w:header="720" w:footer="720" w:gutter="0"/>
          <w:cols w:space="720"/>
          <w:titlePg/>
          <w:docGrid w:linePitch="360"/>
        </w:sectPr>
      </w:pPr>
    </w:p>
    <w:p w14:paraId="74C30888" w14:textId="75DA78B0" w:rsidR="00BE7FE4" w:rsidRPr="002A6387" w:rsidRDefault="00BE7FE4" w:rsidP="002A6387">
      <w:pPr>
        <w:pStyle w:val="Heading3"/>
        <w:rPr>
          <w:b/>
        </w:rPr>
      </w:pPr>
      <w:bookmarkStart w:id="26" w:name="_Toc504573066"/>
      <w:r w:rsidRPr="002A6387">
        <w:rPr>
          <w:b/>
        </w:rPr>
        <w:lastRenderedPageBreak/>
        <w:t>Key Questions: CTE Standards</w:t>
      </w:r>
      <w:r w:rsidR="00F86111" w:rsidRPr="002A6387">
        <w:rPr>
          <w:b/>
        </w:rPr>
        <w:t xml:space="preserve"> &amp; Course Sequencing</w:t>
      </w:r>
      <w:bookmarkEnd w:id="26"/>
      <w:r w:rsidR="00F86111" w:rsidRPr="002A6387">
        <w:rPr>
          <w:b/>
        </w:rPr>
        <w:t xml:space="preserve"> </w:t>
      </w:r>
    </w:p>
    <w:p w14:paraId="0BB9A299" w14:textId="12228387" w:rsidR="00E74429" w:rsidRPr="00F86111" w:rsidRDefault="000F627F" w:rsidP="00BE7FE4">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213" w:tblpY="170"/>
        <w:tblW w:w="10080" w:type="dxa"/>
        <w:tblLook w:val="04A0" w:firstRow="1" w:lastRow="0" w:firstColumn="1" w:lastColumn="0" w:noHBand="0" w:noVBand="1"/>
      </w:tblPr>
      <w:tblGrid>
        <w:gridCol w:w="1519"/>
        <w:gridCol w:w="3786"/>
        <w:gridCol w:w="4775"/>
      </w:tblGrid>
      <w:tr w:rsidR="00BE7FE4" w:rsidRPr="006169A9" w14:paraId="6116FD82" w14:textId="77777777" w:rsidTr="00645B9D">
        <w:trPr>
          <w:trHeight w:val="170"/>
          <w:tblHeader/>
        </w:trPr>
        <w:tc>
          <w:tcPr>
            <w:tcW w:w="1519" w:type="dxa"/>
            <w:shd w:val="clear" w:color="auto" w:fill="F2F2F2" w:themeFill="background1" w:themeFillShade="F2"/>
            <w:tcMar>
              <w:top w:w="72" w:type="dxa"/>
              <w:left w:w="115" w:type="dxa"/>
              <w:right w:w="115" w:type="dxa"/>
            </w:tcMar>
            <w:vAlign w:val="center"/>
          </w:tcPr>
          <w:p w14:paraId="6B9F87F1" w14:textId="77777777" w:rsidR="00BE7FE4" w:rsidRPr="006169A9" w:rsidRDefault="00BE7FE4" w:rsidP="003A121D">
            <w:pPr>
              <w:pStyle w:val="Heading4"/>
              <w:outlineLvl w:val="3"/>
            </w:pPr>
            <w:r>
              <w:br w:type="page"/>
            </w:r>
          </w:p>
        </w:tc>
        <w:tc>
          <w:tcPr>
            <w:tcW w:w="3786" w:type="dxa"/>
            <w:shd w:val="clear" w:color="auto" w:fill="F2F2F2" w:themeFill="background1" w:themeFillShade="F2"/>
            <w:tcMar>
              <w:top w:w="72" w:type="dxa"/>
              <w:left w:w="115" w:type="dxa"/>
              <w:right w:w="115" w:type="dxa"/>
            </w:tcMar>
          </w:tcPr>
          <w:p w14:paraId="622F29E0" w14:textId="77777777" w:rsidR="00BE7FE4" w:rsidRPr="006169A9" w:rsidRDefault="00BE7FE4" w:rsidP="003A121D">
            <w:pPr>
              <w:jc w:val="center"/>
              <w:rPr>
                <w:b/>
                <w:i/>
                <w:sz w:val="24"/>
              </w:rPr>
            </w:pPr>
            <w:r>
              <w:rPr>
                <w:b/>
                <w:i/>
                <w:sz w:val="24"/>
              </w:rPr>
              <w:t>Key Questions</w:t>
            </w:r>
          </w:p>
        </w:tc>
        <w:tc>
          <w:tcPr>
            <w:tcW w:w="4775" w:type="dxa"/>
            <w:shd w:val="clear" w:color="auto" w:fill="F2F2F2" w:themeFill="background1" w:themeFillShade="F2"/>
            <w:tcMar>
              <w:top w:w="72" w:type="dxa"/>
              <w:left w:w="115" w:type="dxa"/>
              <w:right w:w="115" w:type="dxa"/>
            </w:tcMar>
          </w:tcPr>
          <w:p w14:paraId="466663FF" w14:textId="77777777" w:rsidR="003E4F12" w:rsidRDefault="00606BD0" w:rsidP="008F4C2F">
            <w:pPr>
              <w:jc w:val="center"/>
            </w:pPr>
            <w:r w:rsidRPr="008F4C2F">
              <w:rPr>
                <w:b/>
                <w:i/>
                <w:sz w:val="24"/>
              </w:rPr>
              <w:t>State Response</w:t>
            </w:r>
          </w:p>
        </w:tc>
      </w:tr>
      <w:tr w:rsidR="00B35916" w14:paraId="05C00E9F" w14:textId="77777777" w:rsidTr="00645B9D">
        <w:trPr>
          <w:trHeight w:val="763"/>
          <w:tblHeader/>
        </w:trPr>
        <w:tc>
          <w:tcPr>
            <w:tcW w:w="1519" w:type="dxa"/>
            <w:vMerge w:val="restart"/>
            <w:tcMar>
              <w:top w:w="72" w:type="dxa"/>
              <w:left w:w="115" w:type="dxa"/>
              <w:right w:w="115" w:type="dxa"/>
            </w:tcMar>
            <w:vAlign w:val="center"/>
          </w:tcPr>
          <w:p w14:paraId="4A085631" w14:textId="77777777" w:rsidR="003E4F12" w:rsidRDefault="00606BD0" w:rsidP="007A798E">
            <w:r w:rsidRPr="007A798E">
              <w:rPr>
                <w:b/>
                <w:i/>
                <w:sz w:val="24"/>
              </w:rPr>
              <w:t>CTE Standards &amp; Course Sequencing</w:t>
            </w:r>
          </w:p>
        </w:tc>
        <w:tc>
          <w:tcPr>
            <w:tcW w:w="3786" w:type="dxa"/>
            <w:tcMar>
              <w:top w:w="72" w:type="dxa"/>
              <w:left w:w="115" w:type="dxa"/>
              <w:right w:w="115" w:type="dxa"/>
            </w:tcMar>
          </w:tcPr>
          <w:p w14:paraId="3CDF7A35" w14:textId="01C827C0" w:rsidR="00B35916" w:rsidRPr="00B55A87" w:rsidRDefault="00B35916" w:rsidP="00254C50">
            <w:pPr>
              <w:spacing w:after="120"/>
            </w:pPr>
            <w:r>
              <w:rPr>
                <w:lang w:val="en-GB"/>
              </w:rPr>
              <w:t>Briefly review your</w:t>
            </w:r>
            <w:r w:rsidRPr="00B55A87">
              <w:rPr>
                <w:lang w:val="en-GB"/>
              </w:rPr>
              <w:t xml:space="preserve"> state’s course </w:t>
            </w:r>
            <w:r w:rsidR="007A798E">
              <w:rPr>
                <w:lang w:val="en-GB"/>
              </w:rPr>
              <w:t xml:space="preserve">secondary and postsecondary </w:t>
            </w:r>
            <w:r w:rsidRPr="00B55A87">
              <w:rPr>
                <w:lang w:val="en-GB"/>
              </w:rPr>
              <w:t xml:space="preserve">standards from various courses across programs of study in several Career Clusters. Now look back at the high-level criteria listed in this section. </w:t>
            </w:r>
          </w:p>
          <w:p w14:paraId="64600603" w14:textId="77777777" w:rsidR="00B35916" w:rsidRPr="00B55A87" w:rsidRDefault="00B35916" w:rsidP="009037B2">
            <w:pPr>
              <w:pStyle w:val="ListParagraph"/>
              <w:numPr>
                <w:ilvl w:val="0"/>
                <w:numId w:val="15"/>
              </w:numPr>
              <w:spacing w:after="120"/>
            </w:pPr>
            <w:r w:rsidRPr="00AF2473">
              <w:rPr>
                <w:lang w:val="en-GB"/>
              </w:rPr>
              <w:t xml:space="preserve">Which category do your courses’ standards fall in most? </w:t>
            </w:r>
          </w:p>
          <w:p w14:paraId="52D39B39" w14:textId="77777777" w:rsidR="00B35916" w:rsidRDefault="00B35916" w:rsidP="009037B2">
            <w:pPr>
              <w:pStyle w:val="ListParagraph"/>
              <w:numPr>
                <w:ilvl w:val="0"/>
                <w:numId w:val="15"/>
              </w:numPr>
              <w:spacing w:after="120"/>
            </w:pPr>
            <w:r w:rsidRPr="00AF2473">
              <w:rPr>
                <w:lang w:val="en-GB"/>
              </w:rPr>
              <w:t>What characteristics from the category seem to be most prevalent when examining your standards?</w:t>
            </w:r>
          </w:p>
        </w:tc>
        <w:tc>
          <w:tcPr>
            <w:tcW w:w="4775" w:type="dxa"/>
            <w:tcMar>
              <w:top w:w="72" w:type="dxa"/>
              <w:left w:w="115" w:type="dxa"/>
              <w:right w:w="115" w:type="dxa"/>
            </w:tcMar>
          </w:tcPr>
          <w:p w14:paraId="1AF6B665" w14:textId="77777777" w:rsidR="00B35916" w:rsidRDefault="00B35916" w:rsidP="003A121D">
            <w:pPr>
              <w:pStyle w:val="Heading4"/>
              <w:outlineLvl w:val="3"/>
            </w:pPr>
          </w:p>
        </w:tc>
      </w:tr>
      <w:tr w:rsidR="00B35916" w14:paraId="5C9CD6C9" w14:textId="77777777" w:rsidTr="00645B9D">
        <w:trPr>
          <w:trHeight w:val="1027"/>
          <w:tblHeader/>
        </w:trPr>
        <w:tc>
          <w:tcPr>
            <w:tcW w:w="1519" w:type="dxa"/>
            <w:vMerge/>
            <w:tcMar>
              <w:top w:w="72" w:type="dxa"/>
              <w:left w:w="115" w:type="dxa"/>
              <w:right w:w="115" w:type="dxa"/>
            </w:tcMar>
          </w:tcPr>
          <w:p w14:paraId="33FD99A4" w14:textId="77777777" w:rsidR="00B35916" w:rsidRPr="006169A9" w:rsidRDefault="00B35916" w:rsidP="003A121D">
            <w:pPr>
              <w:pStyle w:val="Heading4"/>
              <w:outlineLvl w:val="3"/>
            </w:pPr>
          </w:p>
        </w:tc>
        <w:tc>
          <w:tcPr>
            <w:tcW w:w="3786" w:type="dxa"/>
            <w:tcMar>
              <w:top w:w="72" w:type="dxa"/>
              <w:left w:w="115" w:type="dxa"/>
              <w:right w:w="115" w:type="dxa"/>
            </w:tcMar>
          </w:tcPr>
          <w:p w14:paraId="395A3004" w14:textId="5FF42620" w:rsidR="00B35916" w:rsidRPr="00AF2473" w:rsidRDefault="00B35916" w:rsidP="00645B9D">
            <w:pPr>
              <w:spacing w:after="120"/>
              <w:rPr>
                <w:lang w:val="en-GB"/>
              </w:rPr>
            </w:pPr>
            <w:r w:rsidRPr="00AF2473">
              <w:rPr>
                <w:lang w:val="en-GB"/>
              </w:rPr>
              <w:t>Do your CTE standards attend to the full range of CTE expectations (e.g., transferable career-ready or employability skills, broader Career Cluster-level skills, industry-specific skills, and academic skills)?</w:t>
            </w:r>
            <w:r w:rsidR="00645B9D">
              <w:rPr>
                <w:lang w:val="en-GB"/>
              </w:rPr>
              <w:t xml:space="preserve"> </w:t>
            </w:r>
            <w:r w:rsidRPr="00AF2473">
              <w:rPr>
                <w:lang w:val="en-GB"/>
              </w:rPr>
              <w:t>If not, where are the gaps?</w:t>
            </w:r>
          </w:p>
        </w:tc>
        <w:tc>
          <w:tcPr>
            <w:tcW w:w="4775" w:type="dxa"/>
            <w:tcMar>
              <w:top w:w="72" w:type="dxa"/>
              <w:left w:w="115" w:type="dxa"/>
              <w:right w:w="115" w:type="dxa"/>
            </w:tcMar>
          </w:tcPr>
          <w:p w14:paraId="53F0EC0F" w14:textId="77777777" w:rsidR="00B35916" w:rsidRDefault="00B35916" w:rsidP="003A121D">
            <w:pPr>
              <w:pStyle w:val="Heading4"/>
              <w:outlineLvl w:val="3"/>
            </w:pPr>
          </w:p>
        </w:tc>
      </w:tr>
      <w:tr w:rsidR="00B35916" w14:paraId="1900097F" w14:textId="77777777" w:rsidTr="00645B9D">
        <w:trPr>
          <w:trHeight w:val="1027"/>
          <w:tblHeader/>
        </w:trPr>
        <w:tc>
          <w:tcPr>
            <w:tcW w:w="1519" w:type="dxa"/>
            <w:vMerge/>
            <w:tcMar>
              <w:top w:w="72" w:type="dxa"/>
              <w:left w:w="115" w:type="dxa"/>
              <w:right w:w="115" w:type="dxa"/>
            </w:tcMar>
          </w:tcPr>
          <w:p w14:paraId="07E8C6F9" w14:textId="77777777" w:rsidR="00B35916" w:rsidRPr="006169A9" w:rsidRDefault="00B35916" w:rsidP="003A121D">
            <w:pPr>
              <w:pStyle w:val="Heading4"/>
              <w:outlineLvl w:val="3"/>
            </w:pPr>
          </w:p>
        </w:tc>
        <w:tc>
          <w:tcPr>
            <w:tcW w:w="3786" w:type="dxa"/>
            <w:tcMar>
              <w:top w:w="72" w:type="dxa"/>
              <w:left w:w="115" w:type="dxa"/>
              <w:right w:w="115" w:type="dxa"/>
            </w:tcMar>
          </w:tcPr>
          <w:p w14:paraId="0825EBCB" w14:textId="40C5A71D" w:rsidR="00B35916" w:rsidRPr="00AF2473" w:rsidRDefault="00B35916" w:rsidP="00E26AB9">
            <w:pPr>
              <w:spacing w:after="120"/>
              <w:textAlignment w:val="baseline"/>
              <w:rPr>
                <w:rFonts w:eastAsia="Times New Roman" w:cs="Arial"/>
                <w:color w:val="000000"/>
              </w:rPr>
            </w:pPr>
            <w:r w:rsidRPr="00AF2473">
              <w:rPr>
                <w:lang w:val="en-GB"/>
              </w:rPr>
              <w:t>How does your state ensure local education agencies</w:t>
            </w:r>
            <w:r w:rsidR="007A798E">
              <w:rPr>
                <w:lang w:val="en-GB"/>
              </w:rPr>
              <w:t xml:space="preserve"> and postsecondary institutions</w:t>
            </w:r>
            <w:r w:rsidRPr="00AF2473">
              <w:rPr>
                <w:lang w:val="en-GB"/>
              </w:rPr>
              <w:t xml:space="preserve"> are </w:t>
            </w:r>
            <w:r w:rsidR="00E26AB9">
              <w:rPr>
                <w:lang w:val="en-GB"/>
              </w:rPr>
              <w:t>implementing state CTE standards</w:t>
            </w:r>
            <w:r w:rsidRPr="00AF2473">
              <w:rPr>
                <w:lang w:val="en-GB"/>
              </w:rPr>
              <w:t xml:space="preserve"> with fidelity?</w:t>
            </w:r>
          </w:p>
        </w:tc>
        <w:tc>
          <w:tcPr>
            <w:tcW w:w="4775" w:type="dxa"/>
            <w:tcMar>
              <w:top w:w="72" w:type="dxa"/>
              <w:left w:w="115" w:type="dxa"/>
              <w:right w:w="115" w:type="dxa"/>
            </w:tcMar>
          </w:tcPr>
          <w:p w14:paraId="31D37A1A" w14:textId="77777777" w:rsidR="00B35916" w:rsidRDefault="00B35916" w:rsidP="003A121D">
            <w:pPr>
              <w:pStyle w:val="Heading4"/>
              <w:outlineLvl w:val="3"/>
            </w:pPr>
          </w:p>
        </w:tc>
      </w:tr>
      <w:tr w:rsidR="00B35916" w14:paraId="515EF84F" w14:textId="77777777" w:rsidTr="00645B9D">
        <w:trPr>
          <w:trHeight w:val="1027"/>
          <w:tblHeader/>
        </w:trPr>
        <w:tc>
          <w:tcPr>
            <w:tcW w:w="1519" w:type="dxa"/>
            <w:vMerge/>
            <w:tcMar>
              <w:top w:w="72" w:type="dxa"/>
              <w:left w:w="115" w:type="dxa"/>
              <w:right w:w="115" w:type="dxa"/>
            </w:tcMar>
          </w:tcPr>
          <w:p w14:paraId="3178FCA4" w14:textId="77777777" w:rsidR="00B35916" w:rsidRPr="006169A9" w:rsidRDefault="00B35916" w:rsidP="003A121D">
            <w:pPr>
              <w:pStyle w:val="Heading4"/>
              <w:outlineLvl w:val="3"/>
            </w:pPr>
          </w:p>
        </w:tc>
        <w:tc>
          <w:tcPr>
            <w:tcW w:w="3786" w:type="dxa"/>
            <w:tcMar>
              <w:top w:w="72" w:type="dxa"/>
              <w:left w:w="115" w:type="dxa"/>
              <w:right w:w="115" w:type="dxa"/>
            </w:tcMar>
          </w:tcPr>
          <w:p w14:paraId="0980FF91" w14:textId="77777777" w:rsidR="00B35916" w:rsidRPr="00B35916" w:rsidRDefault="00B35916" w:rsidP="00254C50">
            <w:pPr>
              <w:spacing w:after="120"/>
            </w:pPr>
            <w:r w:rsidRPr="00B35916">
              <w:rPr>
                <w:lang w:val="en-GB"/>
              </w:rPr>
              <w:t xml:space="preserve">Looking at your sequenced courses within your programs of study, how confident are you that these are correctly sequenced to ensure mastery of the knowledge and skills necessary for the identified occupation tied to the program of study? </w:t>
            </w:r>
          </w:p>
          <w:p w14:paraId="34D904F0" w14:textId="77777777" w:rsidR="00B35916" w:rsidRPr="00B35916" w:rsidRDefault="00B35916" w:rsidP="009037B2">
            <w:pPr>
              <w:pStyle w:val="ListParagraph"/>
              <w:numPr>
                <w:ilvl w:val="0"/>
                <w:numId w:val="14"/>
              </w:numPr>
              <w:spacing w:after="120"/>
              <w:rPr>
                <w:b/>
                <w:lang w:val="en-GB"/>
              </w:rPr>
            </w:pPr>
            <w:r w:rsidRPr="00B35916">
              <w:rPr>
                <w:lang w:val="en-GB"/>
              </w:rPr>
              <w:t xml:space="preserve">How do you know? </w:t>
            </w:r>
          </w:p>
          <w:p w14:paraId="049F4BED" w14:textId="77777777" w:rsidR="00B35916" w:rsidRPr="00B35916" w:rsidRDefault="00B35916" w:rsidP="009037B2">
            <w:pPr>
              <w:pStyle w:val="ListParagraph"/>
              <w:numPr>
                <w:ilvl w:val="0"/>
                <w:numId w:val="14"/>
              </w:numPr>
              <w:spacing w:after="120"/>
              <w:rPr>
                <w:b/>
                <w:lang w:val="en-GB"/>
              </w:rPr>
            </w:pPr>
            <w:r w:rsidRPr="00B35916">
              <w:rPr>
                <w:lang w:val="en-GB"/>
              </w:rPr>
              <w:t>What components may be missing or misaligned?</w:t>
            </w:r>
          </w:p>
        </w:tc>
        <w:tc>
          <w:tcPr>
            <w:tcW w:w="4775" w:type="dxa"/>
            <w:tcMar>
              <w:top w:w="72" w:type="dxa"/>
              <w:left w:w="115" w:type="dxa"/>
              <w:right w:w="115" w:type="dxa"/>
            </w:tcMar>
          </w:tcPr>
          <w:p w14:paraId="6E306350" w14:textId="77777777" w:rsidR="00B35916" w:rsidRDefault="00B35916" w:rsidP="003A121D">
            <w:pPr>
              <w:pStyle w:val="Heading4"/>
              <w:outlineLvl w:val="3"/>
            </w:pPr>
          </w:p>
        </w:tc>
      </w:tr>
      <w:tr w:rsidR="00B35916" w14:paraId="36DAD458" w14:textId="77777777" w:rsidTr="00645B9D">
        <w:trPr>
          <w:trHeight w:val="725"/>
          <w:tblHeader/>
        </w:trPr>
        <w:tc>
          <w:tcPr>
            <w:tcW w:w="1519" w:type="dxa"/>
            <w:vMerge/>
            <w:tcMar>
              <w:top w:w="72" w:type="dxa"/>
              <w:left w:w="115" w:type="dxa"/>
              <w:right w:w="115" w:type="dxa"/>
            </w:tcMar>
          </w:tcPr>
          <w:p w14:paraId="4368DF77" w14:textId="77777777" w:rsidR="00B35916" w:rsidRPr="006169A9" w:rsidRDefault="00B35916" w:rsidP="003A121D">
            <w:pPr>
              <w:pStyle w:val="Heading4"/>
              <w:outlineLvl w:val="3"/>
            </w:pPr>
          </w:p>
        </w:tc>
        <w:tc>
          <w:tcPr>
            <w:tcW w:w="3786" w:type="dxa"/>
            <w:tcMar>
              <w:top w:w="72" w:type="dxa"/>
              <w:left w:w="115" w:type="dxa"/>
              <w:right w:w="115" w:type="dxa"/>
            </w:tcMar>
          </w:tcPr>
          <w:p w14:paraId="2951C03C" w14:textId="77777777" w:rsidR="00B35916" w:rsidRPr="00B35916" w:rsidRDefault="00B35916" w:rsidP="00254C50">
            <w:pPr>
              <w:spacing w:after="120"/>
              <w:textAlignment w:val="baseline"/>
              <w:rPr>
                <w:b/>
                <w:lang w:val="en-GB"/>
              </w:rPr>
            </w:pPr>
            <w:r w:rsidRPr="00B35916">
              <w:rPr>
                <w:lang w:val="en-GB"/>
              </w:rPr>
              <w:t>Does your state approve courses or programs within a clearly</w:t>
            </w:r>
            <w:r w:rsidR="00DE27E4">
              <w:rPr>
                <w:lang w:val="en-GB"/>
              </w:rPr>
              <w:t xml:space="preserve"> </w:t>
            </w:r>
            <w:r w:rsidRPr="00B35916">
              <w:rPr>
                <w:lang w:val="en-GB"/>
              </w:rPr>
              <w:t xml:space="preserve">defined sequence? </w:t>
            </w:r>
          </w:p>
        </w:tc>
        <w:tc>
          <w:tcPr>
            <w:tcW w:w="4775" w:type="dxa"/>
            <w:tcMar>
              <w:top w:w="72" w:type="dxa"/>
              <w:left w:w="115" w:type="dxa"/>
              <w:right w:w="115" w:type="dxa"/>
            </w:tcMar>
          </w:tcPr>
          <w:p w14:paraId="404875C5" w14:textId="77777777" w:rsidR="00B35916" w:rsidRDefault="00B35916" w:rsidP="003A121D">
            <w:pPr>
              <w:pStyle w:val="Heading4"/>
              <w:outlineLvl w:val="3"/>
            </w:pPr>
          </w:p>
        </w:tc>
      </w:tr>
    </w:tbl>
    <w:p w14:paraId="32EB1D3D" w14:textId="48518F82" w:rsidR="000C763C" w:rsidRDefault="000C763C" w:rsidP="00C34F62"/>
    <w:p w14:paraId="2A7E6CFD" w14:textId="747569E9" w:rsidR="00B35916" w:rsidRPr="000C763C" w:rsidRDefault="00F86111" w:rsidP="000C763C">
      <w:pPr>
        <w:pStyle w:val="Heading3"/>
        <w:rPr>
          <w:b/>
        </w:rPr>
      </w:pPr>
      <w:bookmarkStart w:id="27" w:name="_Toc504573067"/>
      <w:r w:rsidRPr="002A6387">
        <w:rPr>
          <w:b/>
        </w:rPr>
        <w:lastRenderedPageBreak/>
        <w:t>Labor Market</w:t>
      </w:r>
      <w:r w:rsidR="00E74429">
        <w:rPr>
          <w:b/>
        </w:rPr>
        <w:t xml:space="preserve"> Alignment</w:t>
      </w:r>
      <w:bookmarkEnd w:id="27"/>
      <w:r w:rsidR="00E74429">
        <w:rPr>
          <w:b/>
        </w:rPr>
        <w:t xml:space="preserve"> </w:t>
      </w:r>
    </w:p>
    <w:p w14:paraId="4F27E932" w14:textId="2819F705" w:rsidR="00B35916" w:rsidRDefault="00B35916" w:rsidP="00B35916">
      <w:r>
        <w:t xml:space="preserve">Perkins makes </w:t>
      </w:r>
      <w:r w:rsidR="00A859BA">
        <w:t>many</w:t>
      </w:r>
      <w:r>
        <w:t xml:space="preserve"> references to the terms “high-skill,” “high-wage” or “high-demand</w:t>
      </w:r>
      <w:r w:rsidR="009454A1">
        <w:t>,</w:t>
      </w:r>
      <w:r>
        <w:t>”</w:t>
      </w:r>
      <w:r w:rsidR="009454A1">
        <w:t xml:space="preserve"> but leaves the actual definition for each of these up to states.</w:t>
      </w:r>
      <w:r>
        <w:t xml:space="preserve"> These terms can be found throughout the law, including in the purposes of the act, state and local plan requirements, state and local uses of funds, and core indicators of performance. While this is a starting point for identifying areas of need, labor market data and industry validation must play a key role in the design, approval and re-approval of programs of study. We are doing learners no favors by enrolling them in programs with no career opportunities at the end.  </w:t>
      </w:r>
    </w:p>
    <w:p w14:paraId="492A0159" w14:textId="77777777" w:rsidR="00B35916" w:rsidRDefault="00B35916" w:rsidP="00B35916"/>
    <w:p w14:paraId="6B829988" w14:textId="77777777" w:rsidR="00426C99" w:rsidRDefault="00426C99" w:rsidP="00426C99">
      <w:pPr>
        <w:pBdr>
          <w:top w:val="single" w:sz="4" w:space="1" w:color="auto"/>
          <w:left w:val="single" w:sz="4" w:space="4" w:color="auto"/>
          <w:bottom w:val="single" w:sz="4" w:space="0" w:color="auto"/>
          <w:right w:val="single" w:sz="4" w:space="4" w:color="auto"/>
        </w:pBdr>
      </w:pPr>
      <w:r w:rsidRPr="00243EA2">
        <w:rPr>
          <w:b/>
          <w:i/>
          <w:color w:val="009AA6"/>
        </w:rPr>
        <w:t>Helpful Resource</w:t>
      </w:r>
      <w:r w:rsidRPr="00243EA2">
        <w:rPr>
          <w:color w:val="009AA6"/>
        </w:rPr>
        <w:t>:</w:t>
      </w:r>
      <w:r>
        <w:t xml:space="preserve">   </w:t>
      </w:r>
      <w:r w:rsidR="00B35916" w:rsidRPr="00B35916">
        <w:rPr>
          <w:i/>
        </w:rPr>
        <w:t>Putting Labor Market Information in the Right Hands: A Guide</w:t>
      </w:r>
      <w:r w:rsidR="00B35916">
        <w:t xml:space="preserve">: </w:t>
      </w:r>
      <w:hyperlink r:id="rId47" w:history="1">
        <w:r w:rsidR="00B35916" w:rsidRPr="00375684">
          <w:rPr>
            <w:rStyle w:val="Hyperlink"/>
          </w:rPr>
          <w:t>https://careertech.org/resource/putting-LMI-right-hands-guide</w:t>
        </w:r>
      </w:hyperlink>
      <w:r w:rsidR="00B35916">
        <w:t xml:space="preserve"> </w:t>
      </w:r>
    </w:p>
    <w:p w14:paraId="6658A780" w14:textId="77777777" w:rsidR="009454A1" w:rsidRDefault="009454A1" w:rsidP="00426C99">
      <w:pPr>
        <w:pBdr>
          <w:top w:val="single" w:sz="4" w:space="1" w:color="auto"/>
          <w:left w:val="single" w:sz="4" w:space="4" w:color="auto"/>
          <w:bottom w:val="single" w:sz="4" w:space="0" w:color="auto"/>
          <w:right w:val="single" w:sz="4" w:space="4" w:color="auto"/>
        </w:pBdr>
      </w:pPr>
    </w:p>
    <w:p w14:paraId="0C48ED52" w14:textId="75BF48C6" w:rsidR="00DE27E4" w:rsidRDefault="00F33E61" w:rsidP="00426C99">
      <w:pPr>
        <w:pBdr>
          <w:top w:val="single" w:sz="4" w:space="1" w:color="auto"/>
          <w:left w:val="single" w:sz="4" w:space="4" w:color="auto"/>
          <w:bottom w:val="single" w:sz="4" w:space="0" w:color="auto"/>
          <w:right w:val="single" w:sz="4" w:space="4" w:color="auto"/>
        </w:pBdr>
      </w:pPr>
      <w:r w:rsidRPr="00F33E61">
        <w:rPr>
          <w:i/>
        </w:rPr>
        <w:t xml:space="preserve">Good Jobs Index </w:t>
      </w:r>
      <w:r w:rsidRPr="00F33E61">
        <w:t xml:space="preserve">from Georgetown University’s Center on Education &amp; Workforce. </w:t>
      </w:r>
      <w:hyperlink r:id="rId48" w:history="1">
        <w:r w:rsidR="009454A1" w:rsidRPr="00F33E61">
          <w:rPr>
            <w:rStyle w:val="Hyperlink"/>
          </w:rPr>
          <w:t>https://goodjobsdata.org/</w:t>
        </w:r>
      </w:hyperlink>
      <w:r w:rsidR="009454A1">
        <w:t xml:space="preserve"> </w:t>
      </w:r>
    </w:p>
    <w:p w14:paraId="64C52074" w14:textId="77777777" w:rsidR="00426C99" w:rsidRDefault="00426C99" w:rsidP="00BE7FE4">
      <w:pPr>
        <w:rPr>
          <w:b/>
          <w:i/>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F86111" w14:paraId="54859015" w14:textId="77777777" w:rsidTr="00C34F62">
        <w:trPr>
          <w:trHeight w:val="49"/>
        </w:trPr>
        <w:tc>
          <w:tcPr>
            <w:tcW w:w="1710" w:type="dxa"/>
            <w:shd w:val="clear" w:color="auto" w:fill="F2F2F2" w:themeFill="background1" w:themeFillShade="F2"/>
            <w:tcMar>
              <w:top w:w="72" w:type="dxa"/>
              <w:left w:w="115" w:type="dxa"/>
              <w:right w:w="115" w:type="dxa"/>
            </w:tcMar>
          </w:tcPr>
          <w:p w14:paraId="797AEEC9" w14:textId="77777777" w:rsidR="00F86111" w:rsidRPr="006169A9" w:rsidRDefault="00F86111" w:rsidP="003E616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7C277D64" w14:textId="744EFD30" w:rsidR="00B246DE" w:rsidRDefault="00DE27E4" w:rsidP="00A724FC">
            <w:pPr>
              <w:textAlignment w:val="baseline"/>
              <w:rPr>
                <w:rFonts w:eastAsia="Times New Roman" w:cs="Arial"/>
                <w:color w:val="000000"/>
              </w:rPr>
            </w:pPr>
            <w:r>
              <w:rPr>
                <w:rFonts w:eastAsia="Times New Roman" w:cs="Arial"/>
                <w:color w:val="000000"/>
              </w:rPr>
              <w:t>A</w:t>
            </w:r>
            <w:r w:rsidR="00EE2E2B" w:rsidRPr="00EE2E2B">
              <w:rPr>
                <w:rFonts w:eastAsia="Times New Roman" w:cs="Arial"/>
                <w:color w:val="000000"/>
              </w:rPr>
              <w:t xml:space="preserve">ll CTE programs </w:t>
            </w:r>
            <w:r w:rsidR="00714C8F">
              <w:rPr>
                <w:rFonts w:eastAsia="Times New Roman" w:cs="Arial"/>
                <w:color w:val="000000"/>
              </w:rPr>
              <w:t xml:space="preserve">of study </w:t>
            </w:r>
            <w:r w:rsidR="00EE2E2B" w:rsidRPr="00EE2E2B">
              <w:rPr>
                <w:rFonts w:eastAsia="Times New Roman" w:cs="Arial"/>
                <w:color w:val="000000"/>
              </w:rPr>
              <w:t>should be able to justify their existence by demonstrating that labor market information shows a consistent and sustainable demand in high-skill and high-demand occupations for employees in these pathways in the state and/or local region</w:t>
            </w:r>
            <w:r w:rsidR="00EE2E2B">
              <w:rPr>
                <w:rFonts w:eastAsia="Times New Roman" w:cs="Arial"/>
                <w:color w:val="000000"/>
              </w:rPr>
              <w:t xml:space="preserve">. </w:t>
            </w:r>
          </w:p>
          <w:p w14:paraId="12026695" w14:textId="77777777" w:rsidR="00B246DE" w:rsidRDefault="00B246DE" w:rsidP="00A724FC">
            <w:pPr>
              <w:textAlignment w:val="baseline"/>
              <w:rPr>
                <w:rFonts w:eastAsia="Times New Roman" w:cs="Arial"/>
                <w:color w:val="000000"/>
              </w:rPr>
            </w:pPr>
          </w:p>
          <w:p w14:paraId="01262259" w14:textId="4298D7DC" w:rsidR="00EE2E2B" w:rsidRDefault="00EE2E2B" w:rsidP="00A724FC">
            <w:pPr>
              <w:textAlignment w:val="baseline"/>
              <w:rPr>
                <w:rFonts w:eastAsia="Times New Roman" w:cs="Arial"/>
                <w:color w:val="000000"/>
              </w:rPr>
            </w:pPr>
            <w:r>
              <w:rPr>
                <w:rFonts w:eastAsia="Times New Roman" w:cs="Arial"/>
                <w:color w:val="000000"/>
              </w:rPr>
              <w:t xml:space="preserve">This requires having strong labor market data available and strong policies to ensure that </w:t>
            </w:r>
            <w:r w:rsidR="0040160A">
              <w:rPr>
                <w:rFonts w:eastAsia="Times New Roman" w:cs="Arial"/>
                <w:color w:val="000000"/>
              </w:rPr>
              <w:t xml:space="preserve">the </w:t>
            </w:r>
            <w:r>
              <w:rPr>
                <w:rFonts w:eastAsia="Times New Roman" w:cs="Arial"/>
                <w:color w:val="000000"/>
              </w:rPr>
              <w:t>data is being used to support programs of study.</w:t>
            </w:r>
            <w:r w:rsidR="00C34F62">
              <w:rPr>
                <w:rFonts w:eastAsia="Times New Roman" w:cs="Arial"/>
                <w:color w:val="000000"/>
              </w:rPr>
              <w:t xml:space="preserve"> I</w:t>
            </w:r>
            <w:r w:rsidR="0040160A">
              <w:rPr>
                <w:rFonts w:eastAsia="Times New Roman" w:cs="Arial"/>
                <w:color w:val="000000"/>
              </w:rPr>
              <w:t xml:space="preserve">n the absence of such justification, labor market data can serve as a signal that a program of study does not have relevance or provide pathways to careers. </w:t>
            </w:r>
          </w:p>
          <w:p w14:paraId="2F0056FF" w14:textId="77777777" w:rsidR="00A724FC" w:rsidRDefault="00A724FC" w:rsidP="00A724FC">
            <w:pPr>
              <w:textAlignment w:val="baseline"/>
              <w:rPr>
                <w:rFonts w:eastAsia="Times New Roman" w:cs="Arial"/>
                <w:color w:val="000000"/>
              </w:rPr>
            </w:pPr>
          </w:p>
          <w:p w14:paraId="603B0D99" w14:textId="2DF1029C" w:rsidR="00F86111" w:rsidRPr="00BF67C8" w:rsidRDefault="00DE27E4" w:rsidP="00BF67C8">
            <w:pPr>
              <w:spacing w:after="120"/>
              <w:textAlignment w:val="baseline"/>
              <w:rPr>
                <w:rFonts w:eastAsia="Times New Roman" w:cs="Arial"/>
                <w:color w:val="000000"/>
              </w:rPr>
            </w:pPr>
            <w:r>
              <w:rPr>
                <w:rFonts w:eastAsia="Times New Roman" w:cs="Arial"/>
                <w:color w:val="000000"/>
              </w:rPr>
              <w:t>J</w:t>
            </w:r>
            <w:r w:rsidR="00836637">
              <w:rPr>
                <w:rFonts w:eastAsia="Times New Roman" w:cs="Arial"/>
                <w:color w:val="000000"/>
              </w:rPr>
              <w:t>ust as labor market data should be used to justify existing programs, it also need to be used to identify areas where programs of study are missing or inaccessible.</w:t>
            </w:r>
          </w:p>
        </w:tc>
      </w:tr>
      <w:tr w:rsidR="00F86111" w14:paraId="3C30EC8E" w14:textId="77777777" w:rsidTr="009C6068">
        <w:trPr>
          <w:trHeight w:val="198"/>
        </w:trPr>
        <w:tc>
          <w:tcPr>
            <w:tcW w:w="1710" w:type="dxa"/>
            <w:shd w:val="clear" w:color="auto" w:fill="D5FCFF"/>
            <w:tcMar>
              <w:top w:w="72" w:type="dxa"/>
              <w:left w:w="115" w:type="dxa"/>
              <w:right w:w="115" w:type="dxa"/>
            </w:tcMar>
          </w:tcPr>
          <w:p w14:paraId="22F545E1" w14:textId="77777777" w:rsidR="00F86111" w:rsidRPr="006169A9" w:rsidRDefault="00F86111" w:rsidP="003E6168">
            <w:pPr>
              <w:rPr>
                <w:b/>
              </w:rPr>
            </w:pPr>
            <w:r>
              <w:rPr>
                <w:b/>
              </w:rPr>
              <w:t>State Example</w:t>
            </w:r>
            <w:r w:rsidR="0071186B">
              <w:rPr>
                <w:b/>
              </w:rPr>
              <w:t>s</w:t>
            </w:r>
            <w:r>
              <w:rPr>
                <w:b/>
              </w:rPr>
              <w:t xml:space="preserve"> </w:t>
            </w:r>
          </w:p>
        </w:tc>
        <w:tc>
          <w:tcPr>
            <w:tcW w:w="7758" w:type="dxa"/>
            <w:shd w:val="clear" w:color="auto" w:fill="D5FCFF"/>
            <w:tcMar>
              <w:top w:w="72" w:type="dxa"/>
              <w:left w:w="115" w:type="dxa"/>
              <w:right w:w="115" w:type="dxa"/>
            </w:tcMar>
          </w:tcPr>
          <w:p w14:paraId="368690D2" w14:textId="77777777" w:rsidR="00DE27E4" w:rsidRDefault="00EE2E2B" w:rsidP="003E6168">
            <w:r w:rsidRPr="00836637">
              <w:rPr>
                <w:b/>
              </w:rPr>
              <w:t>Tennessee</w:t>
            </w:r>
            <w:r>
              <w:t xml:space="preserve"> requires</w:t>
            </w:r>
            <w:r w:rsidR="00836637">
              <w:t xml:space="preserve"> an annual justification for ongoing approval of secondary programs of study that includes labor market data.</w:t>
            </w:r>
            <w:r w:rsidR="0073209B">
              <w:t xml:space="preserve"> </w:t>
            </w:r>
          </w:p>
          <w:p w14:paraId="636E9816" w14:textId="77777777" w:rsidR="00DE27E4" w:rsidRDefault="00934C08" w:rsidP="003E6168">
            <w:hyperlink r:id="rId49" w:history="1">
              <w:r w:rsidR="00DE27E4" w:rsidRPr="00DE27E4">
                <w:rPr>
                  <w:rStyle w:val="Hyperlink"/>
                </w:rPr>
                <w:t>Link</w:t>
              </w:r>
            </w:hyperlink>
          </w:p>
          <w:p w14:paraId="7827C86F" w14:textId="77777777" w:rsidR="00EE2E2B" w:rsidRDefault="00EE2E2B" w:rsidP="003E6168"/>
          <w:p w14:paraId="29413313" w14:textId="77777777" w:rsidR="00DE27E4" w:rsidRDefault="005D1F64" w:rsidP="005D1F64">
            <w:r>
              <w:t xml:space="preserve">Each technical/community college in </w:t>
            </w:r>
            <w:r w:rsidRPr="00A724FC">
              <w:rPr>
                <w:b/>
              </w:rPr>
              <w:t>Louisiana</w:t>
            </w:r>
            <w:r>
              <w:t xml:space="preserve"> must work with regional partners to identify three clusters – based on </w:t>
            </w:r>
            <w:r w:rsidRPr="005D1F64">
              <w:t>Louisiana Workforce Commission regional workforce data</w:t>
            </w:r>
            <w:r>
              <w:t xml:space="preserve"> – in which they can offer </w:t>
            </w:r>
            <w:r w:rsidR="00EE2E2B">
              <w:t xml:space="preserve">Perkins-supported </w:t>
            </w:r>
            <w:r>
              <w:t>programs of study.</w:t>
            </w:r>
          </w:p>
          <w:p w14:paraId="45513758" w14:textId="77777777" w:rsidR="00DE27E4" w:rsidRDefault="00934C08" w:rsidP="005D1F64">
            <w:hyperlink r:id="rId50" w:history="1">
              <w:r w:rsidR="00DE27E4" w:rsidRPr="00DE27E4">
                <w:rPr>
                  <w:rStyle w:val="Hyperlink"/>
                </w:rPr>
                <w:t>Link</w:t>
              </w:r>
            </w:hyperlink>
          </w:p>
          <w:p w14:paraId="5377D1F3" w14:textId="77777777" w:rsidR="00EE2E2B" w:rsidRDefault="00EE2E2B" w:rsidP="005D1F64"/>
          <w:p w14:paraId="658C15FC" w14:textId="2EEA44D6" w:rsidR="0040160A" w:rsidRDefault="0040160A" w:rsidP="005D1F64">
            <w:r w:rsidRPr="00C34F62">
              <w:rPr>
                <w:b/>
              </w:rPr>
              <w:t>Kentucky</w:t>
            </w:r>
            <w:r>
              <w:t xml:space="preserve"> recently used labor market data to identify where the state had “access gaps” (i.e., not enough CTE programs of study in a region to meet demand) vs. where it had “opportunity gaps” (i.e., not enough learners enrolling in high-demand programs of study).</w:t>
            </w:r>
          </w:p>
          <w:p w14:paraId="48948036" w14:textId="77777777" w:rsidR="0040160A" w:rsidRDefault="00934C08" w:rsidP="00A35149">
            <w:pPr>
              <w:rPr>
                <w:rStyle w:val="Hyperlink"/>
              </w:rPr>
            </w:pPr>
            <w:hyperlink r:id="rId51" w:history="1">
              <w:r w:rsidR="0040160A" w:rsidRPr="0040160A">
                <w:rPr>
                  <w:rStyle w:val="Hyperlink"/>
                </w:rPr>
                <w:t>Link</w:t>
              </w:r>
            </w:hyperlink>
          </w:p>
          <w:p w14:paraId="3017D53B" w14:textId="77777777" w:rsidR="00A35149" w:rsidRDefault="00A35149" w:rsidP="00A35149">
            <w:pPr>
              <w:rPr>
                <w:rStyle w:val="Hyperlink"/>
              </w:rPr>
            </w:pPr>
          </w:p>
          <w:p w14:paraId="6FBFFE67" w14:textId="00C9C3B5" w:rsidR="00A35149" w:rsidRDefault="009C6068" w:rsidP="00A35149">
            <w:pPr>
              <w:pStyle w:val="CommentText"/>
              <w:rPr>
                <w:sz w:val="22"/>
              </w:rPr>
            </w:pPr>
            <w:r w:rsidRPr="009C6068">
              <w:rPr>
                <w:sz w:val="22"/>
              </w:rPr>
              <w:t>In 2013,</w:t>
            </w:r>
            <w:r>
              <w:rPr>
                <w:b/>
                <w:sz w:val="22"/>
              </w:rPr>
              <w:t xml:space="preserve"> </w:t>
            </w:r>
            <w:r w:rsidR="00A35149" w:rsidRPr="009C6068">
              <w:rPr>
                <w:b/>
                <w:sz w:val="22"/>
              </w:rPr>
              <w:t>Alabama</w:t>
            </w:r>
            <w:r w:rsidR="00A35149" w:rsidRPr="009C6068">
              <w:rPr>
                <w:sz w:val="22"/>
              </w:rPr>
              <w:t xml:space="preserve">’s </w:t>
            </w:r>
            <w:r>
              <w:rPr>
                <w:sz w:val="22"/>
              </w:rPr>
              <w:t>established a one-time, $20 million competitive grant program to accelerate and transform high-quality programs study aligned with labor market demand.</w:t>
            </w:r>
            <w:r w:rsidR="00A35149" w:rsidRPr="009C6068">
              <w:rPr>
                <w:sz w:val="22"/>
              </w:rPr>
              <w:t xml:space="preserve"> In total, more than 75 new CTE programs opened and 20 were closed or converted across the state during the 2013-14 school year. </w:t>
            </w:r>
          </w:p>
          <w:p w14:paraId="57C503D5" w14:textId="4B8DA73E" w:rsidR="00A35149" w:rsidRPr="009C6068" w:rsidRDefault="00934C08" w:rsidP="009C6068">
            <w:pPr>
              <w:pStyle w:val="CommentText"/>
              <w:spacing w:after="120"/>
              <w:rPr>
                <w:sz w:val="22"/>
              </w:rPr>
            </w:pPr>
            <w:hyperlink r:id="rId52" w:history="1">
              <w:r w:rsidR="009C6068" w:rsidRPr="009C6068">
                <w:rPr>
                  <w:rStyle w:val="Hyperlink"/>
                  <w:sz w:val="22"/>
                </w:rPr>
                <w:t>Link</w:t>
              </w:r>
            </w:hyperlink>
          </w:p>
        </w:tc>
      </w:tr>
    </w:tbl>
    <w:p w14:paraId="7C974D1E" w14:textId="77777777" w:rsidR="001D5C79" w:rsidRDefault="001D5C79" w:rsidP="00BE7FE4">
      <w:pPr>
        <w:rPr>
          <w:b/>
          <w:i/>
        </w:rPr>
      </w:pPr>
    </w:p>
    <w:p w14:paraId="7884F901" w14:textId="0B0E0EF2" w:rsidR="005272A7" w:rsidRPr="002A6387" w:rsidRDefault="005272A7" w:rsidP="005272A7">
      <w:pPr>
        <w:pStyle w:val="Heading3"/>
        <w:rPr>
          <w:b/>
        </w:rPr>
      </w:pPr>
      <w:bookmarkStart w:id="28" w:name="_Toc504573068"/>
      <w:r w:rsidRPr="002A6387">
        <w:rPr>
          <w:b/>
        </w:rPr>
        <w:t xml:space="preserve">Key Questions:  </w:t>
      </w:r>
      <w:r>
        <w:rPr>
          <w:b/>
        </w:rPr>
        <w:t>Labor Market Alignment</w:t>
      </w:r>
      <w:bookmarkEnd w:id="28"/>
    </w:p>
    <w:p w14:paraId="205194E6" w14:textId="77777777" w:rsidR="005272A7" w:rsidRDefault="005272A7" w:rsidP="005272A7">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429"/>
        <w:gridCol w:w="3498"/>
        <w:gridCol w:w="5063"/>
      </w:tblGrid>
      <w:tr w:rsidR="004367C4" w:rsidRPr="006169A9" w14:paraId="63DF2762" w14:textId="77777777">
        <w:trPr>
          <w:trHeight w:val="170"/>
          <w:tblHeader/>
        </w:trPr>
        <w:tc>
          <w:tcPr>
            <w:tcW w:w="1429" w:type="dxa"/>
            <w:shd w:val="clear" w:color="auto" w:fill="F2F2F2" w:themeFill="background1" w:themeFillShade="F2"/>
            <w:tcMar>
              <w:top w:w="72" w:type="dxa"/>
              <w:left w:w="115" w:type="dxa"/>
              <w:right w:w="115" w:type="dxa"/>
            </w:tcMar>
            <w:vAlign w:val="center"/>
          </w:tcPr>
          <w:p w14:paraId="74CA0701" w14:textId="77777777" w:rsidR="004367C4" w:rsidRPr="006169A9" w:rsidRDefault="004367C4" w:rsidP="008B3767">
            <w:pPr>
              <w:pStyle w:val="Heading4"/>
              <w:outlineLvl w:val="3"/>
            </w:pPr>
            <w:r>
              <w:br w:type="page"/>
            </w:r>
          </w:p>
        </w:tc>
        <w:tc>
          <w:tcPr>
            <w:tcW w:w="3498" w:type="dxa"/>
            <w:shd w:val="clear" w:color="auto" w:fill="F2F2F2" w:themeFill="background1" w:themeFillShade="F2"/>
            <w:tcMar>
              <w:top w:w="72" w:type="dxa"/>
              <w:left w:w="115" w:type="dxa"/>
              <w:right w:w="115" w:type="dxa"/>
            </w:tcMar>
          </w:tcPr>
          <w:p w14:paraId="057BAE33" w14:textId="77777777" w:rsidR="004367C4" w:rsidRPr="006169A9" w:rsidRDefault="004367C4" w:rsidP="008B3767">
            <w:pPr>
              <w:jc w:val="center"/>
              <w:rPr>
                <w:b/>
                <w:i/>
                <w:sz w:val="24"/>
              </w:rPr>
            </w:pPr>
            <w:r>
              <w:rPr>
                <w:b/>
                <w:i/>
                <w:sz w:val="24"/>
              </w:rPr>
              <w:t>Key Questions</w:t>
            </w:r>
          </w:p>
        </w:tc>
        <w:tc>
          <w:tcPr>
            <w:tcW w:w="5063" w:type="dxa"/>
            <w:shd w:val="clear" w:color="auto" w:fill="F2F2F2" w:themeFill="background1" w:themeFillShade="F2"/>
            <w:tcMar>
              <w:top w:w="72" w:type="dxa"/>
              <w:left w:w="115" w:type="dxa"/>
              <w:right w:w="115" w:type="dxa"/>
            </w:tcMar>
          </w:tcPr>
          <w:p w14:paraId="74D67F50" w14:textId="77777777" w:rsidR="003E4F12" w:rsidRDefault="00606BD0" w:rsidP="00EE58A1">
            <w:pPr>
              <w:jc w:val="center"/>
            </w:pPr>
            <w:r w:rsidRPr="00606BD0">
              <w:rPr>
                <w:b/>
                <w:i/>
                <w:sz w:val="24"/>
              </w:rPr>
              <w:t>State Response</w:t>
            </w:r>
          </w:p>
        </w:tc>
      </w:tr>
      <w:tr w:rsidR="004367C4" w14:paraId="261C1FC1" w14:textId="77777777">
        <w:trPr>
          <w:trHeight w:val="763"/>
          <w:tblHeader/>
        </w:trPr>
        <w:tc>
          <w:tcPr>
            <w:tcW w:w="1429" w:type="dxa"/>
            <w:vMerge w:val="restart"/>
            <w:tcMar>
              <w:top w:w="72" w:type="dxa"/>
              <w:left w:w="115" w:type="dxa"/>
              <w:right w:w="115" w:type="dxa"/>
            </w:tcMar>
            <w:vAlign w:val="center"/>
          </w:tcPr>
          <w:p w14:paraId="02F6B63E" w14:textId="77777777" w:rsidR="003E4F12" w:rsidRDefault="00606BD0" w:rsidP="00EE58A1">
            <w:r w:rsidRPr="00606BD0">
              <w:rPr>
                <w:b/>
                <w:i/>
                <w:sz w:val="24"/>
              </w:rPr>
              <w:t>Labor Market Alignment</w:t>
            </w:r>
          </w:p>
        </w:tc>
        <w:tc>
          <w:tcPr>
            <w:tcW w:w="3498" w:type="dxa"/>
            <w:tcMar>
              <w:top w:w="72" w:type="dxa"/>
              <w:left w:w="115" w:type="dxa"/>
              <w:right w:w="115" w:type="dxa"/>
            </w:tcMar>
          </w:tcPr>
          <w:p w14:paraId="4DBA219E" w14:textId="77777777" w:rsidR="00254C50" w:rsidRDefault="00A724FC" w:rsidP="00254C50">
            <w:r>
              <w:t xml:space="preserve">What processes are in place to match current program of study offerings with labor market demand? </w:t>
            </w:r>
          </w:p>
          <w:p w14:paraId="303F83F6" w14:textId="77777777" w:rsidR="001D5C79" w:rsidRDefault="001D5C79" w:rsidP="001D5C79">
            <w:pPr>
              <w:pStyle w:val="ListParagraph"/>
              <w:numPr>
                <w:ilvl w:val="0"/>
                <w:numId w:val="21"/>
              </w:numPr>
              <w:spacing w:after="120"/>
            </w:pPr>
            <w:r>
              <w:t xml:space="preserve">Is the process the same at the secondary and postsecondary levels?  </w:t>
            </w:r>
          </w:p>
          <w:p w14:paraId="7641A5AC" w14:textId="45B6BA7B" w:rsidR="00254C50" w:rsidRDefault="001D5C79" w:rsidP="001D5C79">
            <w:pPr>
              <w:pStyle w:val="ListParagraph"/>
              <w:numPr>
                <w:ilvl w:val="0"/>
                <w:numId w:val="21"/>
              </w:numPr>
              <w:spacing w:after="120"/>
            </w:pPr>
            <w:r>
              <w:t>How effective are they?</w:t>
            </w:r>
          </w:p>
        </w:tc>
        <w:tc>
          <w:tcPr>
            <w:tcW w:w="5063" w:type="dxa"/>
            <w:tcMar>
              <w:top w:w="72" w:type="dxa"/>
              <w:left w:w="115" w:type="dxa"/>
              <w:right w:w="115" w:type="dxa"/>
            </w:tcMar>
          </w:tcPr>
          <w:p w14:paraId="4F7DBF2E" w14:textId="77777777" w:rsidR="004367C4" w:rsidRDefault="004367C4" w:rsidP="008B3767">
            <w:pPr>
              <w:pStyle w:val="Heading4"/>
              <w:outlineLvl w:val="3"/>
            </w:pPr>
          </w:p>
        </w:tc>
      </w:tr>
      <w:tr w:rsidR="00A724FC" w14:paraId="1FD73CF5" w14:textId="77777777">
        <w:trPr>
          <w:trHeight w:val="1029"/>
          <w:tblHeader/>
        </w:trPr>
        <w:tc>
          <w:tcPr>
            <w:tcW w:w="1429" w:type="dxa"/>
            <w:vMerge/>
            <w:tcMar>
              <w:top w:w="72" w:type="dxa"/>
              <w:left w:w="115" w:type="dxa"/>
              <w:right w:w="115" w:type="dxa"/>
            </w:tcMar>
          </w:tcPr>
          <w:p w14:paraId="1FFAF300" w14:textId="77777777" w:rsidR="00A724FC" w:rsidRPr="006169A9" w:rsidRDefault="00A724FC" w:rsidP="00A724FC">
            <w:pPr>
              <w:pStyle w:val="Heading4"/>
              <w:outlineLvl w:val="3"/>
            </w:pPr>
          </w:p>
        </w:tc>
        <w:tc>
          <w:tcPr>
            <w:tcW w:w="3498" w:type="dxa"/>
            <w:tcMar>
              <w:top w:w="72" w:type="dxa"/>
              <w:left w:w="115" w:type="dxa"/>
              <w:right w:w="115" w:type="dxa"/>
            </w:tcMar>
          </w:tcPr>
          <w:p w14:paraId="79491034" w14:textId="77777777" w:rsidR="00A724FC" w:rsidRPr="00C501C0" w:rsidRDefault="00A724FC" w:rsidP="00A724FC">
            <w:pPr>
              <w:spacing w:after="120"/>
            </w:pPr>
            <w:r>
              <w:rPr>
                <w:rFonts w:eastAsia="Times New Roman" w:cs="Arial"/>
                <w:color w:val="000000"/>
              </w:rPr>
              <w:t>To what extent does state policy require the use of current labor market information to inform CTE program design and approval?</w:t>
            </w:r>
          </w:p>
        </w:tc>
        <w:tc>
          <w:tcPr>
            <w:tcW w:w="5063" w:type="dxa"/>
            <w:tcMar>
              <w:top w:w="72" w:type="dxa"/>
              <w:left w:w="115" w:type="dxa"/>
              <w:right w:w="115" w:type="dxa"/>
            </w:tcMar>
          </w:tcPr>
          <w:p w14:paraId="02FF867E" w14:textId="77777777" w:rsidR="00A724FC" w:rsidRDefault="00A724FC" w:rsidP="00A724FC">
            <w:pPr>
              <w:pStyle w:val="Heading4"/>
              <w:outlineLvl w:val="3"/>
            </w:pPr>
          </w:p>
        </w:tc>
      </w:tr>
      <w:tr w:rsidR="00A724FC" w14:paraId="54CB4763" w14:textId="77777777">
        <w:trPr>
          <w:trHeight w:val="1027"/>
          <w:tblHeader/>
        </w:trPr>
        <w:tc>
          <w:tcPr>
            <w:tcW w:w="1429" w:type="dxa"/>
            <w:vMerge/>
            <w:tcMar>
              <w:top w:w="72" w:type="dxa"/>
              <w:left w:w="115" w:type="dxa"/>
              <w:right w:w="115" w:type="dxa"/>
            </w:tcMar>
          </w:tcPr>
          <w:p w14:paraId="1F4A4ACA" w14:textId="77777777" w:rsidR="00A724FC" w:rsidRPr="006169A9" w:rsidRDefault="00A724FC" w:rsidP="00A724FC">
            <w:pPr>
              <w:pStyle w:val="Heading4"/>
              <w:outlineLvl w:val="3"/>
            </w:pPr>
          </w:p>
        </w:tc>
        <w:tc>
          <w:tcPr>
            <w:tcW w:w="3498" w:type="dxa"/>
            <w:tcMar>
              <w:top w:w="72" w:type="dxa"/>
              <w:left w:w="115" w:type="dxa"/>
              <w:right w:w="115" w:type="dxa"/>
            </w:tcMar>
          </w:tcPr>
          <w:p w14:paraId="0023F251" w14:textId="0AD1EA40" w:rsidR="00A724FC" w:rsidRPr="005C3E37" w:rsidRDefault="00A724FC" w:rsidP="00A724FC">
            <w:pPr>
              <w:spacing w:after="120"/>
            </w:pPr>
            <w:r>
              <w:rPr>
                <w:rFonts w:eastAsia="Times New Roman" w:cs="Arial"/>
                <w:color w:val="000000"/>
              </w:rPr>
              <w:t>How is or can labor market data being used to identify the need for new programs to be developed? For non-demanded programs to be phased out</w:t>
            </w:r>
            <w:r w:rsidR="00DE27E4">
              <w:rPr>
                <w:rFonts w:eastAsia="Times New Roman" w:cs="Arial"/>
                <w:color w:val="000000"/>
              </w:rPr>
              <w:t xml:space="preserve"> or transformed?</w:t>
            </w:r>
          </w:p>
        </w:tc>
        <w:tc>
          <w:tcPr>
            <w:tcW w:w="5063" w:type="dxa"/>
            <w:tcMar>
              <w:top w:w="72" w:type="dxa"/>
              <w:left w:w="115" w:type="dxa"/>
              <w:right w:w="115" w:type="dxa"/>
            </w:tcMar>
          </w:tcPr>
          <w:p w14:paraId="7E13B31C" w14:textId="77777777" w:rsidR="00A724FC" w:rsidRDefault="00A724FC" w:rsidP="00A724FC">
            <w:pPr>
              <w:pStyle w:val="Heading4"/>
              <w:outlineLvl w:val="3"/>
            </w:pPr>
          </w:p>
        </w:tc>
      </w:tr>
    </w:tbl>
    <w:p w14:paraId="157E7FC1" w14:textId="77777777" w:rsidR="00CB47C8" w:rsidRDefault="00CB47C8" w:rsidP="00A724FC">
      <w:pPr>
        <w:pStyle w:val="Heading4"/>
        <w:sectPr w:rsidR="00CB47C8" w:rsidSect="009454A1">
          <w:type w:val="continuous"/>
          <w:pgSz w:w="12240" w:h="15840"/>
          <w:pgMar w:top="1440" w:right="1440" w:bottom="1440" w:left="1440" w:header="720" w:footer="720" w:gutter="0"/>
          <w:cols w:space="720"/>
          <w:titlePg/>
          <w:docGrid w:linePitch="360"/>
        </w:sectPr>
      </w:pPr>
    </w:p>
    <w:p w14:paraId="30F7B9F9" w14:textId="77777777" w:rsidR="00CB47C8" w:rsidRDefault="00CB47C8" w:rsidP="00CB47C8">
      <w:pPr>
        <w:pStyle w:val="Heading3"/>
        <w:rPr>
          <w:b/>
        </w:rPr>
        <w:sectPr w:rsidR="00CB47C8">
          <w:type w:val="continuous"/>
          <w:pgSz w:w="12240" w:h="15840"/>
          <w:pgMar w:top="1440" w:right="1440" w:bottom="1440" w:left="1440" w:header="720" w:footer="720" w:gutter="0"/>
          <w:cols w:space="720"/>
          <w:titlePg/>
          <w:docGrid w:linePitch="360"/>
        </w:sectPr>
      </w:pPr>
    </w:p>
    <w:p w14:paraId="71647004" w14:textId="77777777" w:rsidR="000C763C" w:rsidRDefault="000C763C">
      <w:pPr>
        <w:spacing w:after="160" w:line="259" w:lineRule="auto"/>
        <w:rPr>
          <w:rFonts w:eastAsiaTheme="majorEastAsia" w:cstheme="majorBidi"/>
          <w:b/>
          <w:i/>
          <w:sz w:val="24"/>
          <w:szCs w:val="24"/>
        </w:rPr>
      </w:pPr>
      <w:r>
        <w:rPr>
          <w:b/>
        </w:rPr>
        <w:br w:type="page"/>
      </w:r>
    </w:p>
    <w:p w14:paraId="2AA65B67" w14:textId="0842452C" w:rsidR="00CB47C8" w:rsidRDefault="00F86111" w:rsidP="00CB47C8">
      <w:pPr>
        <w:pStyle w:val="Heading3"/>
        <w:rPr>
          <w:b/>
        </w:rPr>
      </w:pPr>
      <w:bookmarkStart w:id="29" w:name="_Toc504573069"/>
      <w:r w:rsidRPr="002A6387">
        <w:rPr>
          <w:b/>
        </w:rPr>
        <w:lastRenderedPageBreak/>
        <w:t>Credentials of Value</w:t>
      </w:r>
      <w:bookmarkEnd w:id="29"/>
    </w:p>
    <w:p w14:paraId="4B0D3F01" w14:textId="77777777" w:rsidR="00F87C73" w:rsidRDefault="00F87C73" w:rsidP="00F87C73">
      <w:r>
        <w:t>The federal definition of program of study specifies that it “</w:t>
      </w:r>
      <w:r w:rsidR="0073209B">
        <w:rPr>
          <w:i/>
        </w:rPr>
        <w:t>l</w:t>
      </w:r>
      <w:r w:rsidRPr="00F87C73">
        <w:rPr>
          <w:i/>
        </w:rPr>
        <w:t>eads to an industry-recognized credential or certificate at the postsecondary level or an associate or baccalaureate degree.”</w:t>
      </w:r>
      <w:r>
        <w:t xml:space="preserve"> </w:t>
      </w:r>
      <w:r w:rsidR="00E95C9E">
        <w:t xml:space="preserve"> </w:t>
      </w:r>
      <w:r>
        <w:t>What is missing from this definition</w:t>
      </w:r>
      <w:r w:rsidR="001C5168">
        <w:t>,</w:t>
      </w:r>
      <w:r>
        <w:t xml:space="preserve"> but is implied, is that those credentials, certificates or degrees are of value to learners.</w:t>
      </w:r>
    </w:p>
    <w:p w14:paraId="5636F93B" w14:textId="77777777" w:rsidR="004D36A8" w:rsidRDefault="004D36A8" w:rsidP="00F87C73"/>
    <w:p w14:paraId="16042D8B" w14:textId="77777777" w:rsidR="004D36A8" w:rsidRDefault="004D36A8" w:rsidP="00F87C73">
      <w:pPr>
        <w:rPr>
          <w:i/>
          <w:lang w:val="en-GB"/>
        </w:rPr>
      </w:pPr>
      <w:r w:rsidRPr="00747C6B">
        <w:rPr>
          <w:i/>
          <w:lang w:val="en-GB"/>
        </w:rPr>
        <w:t>NOTE: A future, optional module will delve into issues related to identifying an</w:t>
      </w:r>
      <w:r>
        <w:rPr>
          <w:i/>
          <w:lang w:val="en-GB"/>
        </w:rPr>
        <w:t>d</w:t>
      </w:r>
      <w:r w:rsidRPr="00747C6B">
        <w:rPr>
          <w:i/>
          <w:lang w:val="en-GB"/>
        </w:rPr>
        <w:t xml:space="preserve"> incentiv</w:t>
      </w:r>
      <w:r>
        <w:rPr>
          <w:i/>
          <w:lang w:val="en-GB"/>
        </w:rPr>
        <w:t>izing</w:t>
      </w:r>
      <w:r w:rsidRPr="00747C6B">
        <w:rPr>
          <w:i/>
          <w:lang w:val="en-GB"/>
        </w:rPr>
        <w:t xml:space="preserve"> industry-recognized credentials more broadly</w:t>
      </w:r>
      <w:r>
        <w:rPr>
          <w:i/>
          <w:lang w:val="en-GB"/>
        </w:rPr>
        <w:t>. This section will focus, primarily, on the utility of a credential of value as it relates to a high-quality program of study.</w:t>
      </w:r>
    </w:p>
    <w:p w14:paraId="3F68E379" w14:textId="77777777" w:rsidR="001D5C79" w:rsidRDefault="001D5C79" w:rsidP="00F87C73">
      <w:pPr>
        <w:rPr>
          <w:i/>
          <w:lang w:val="en-GB"/>
        </w:rPr>
      </w:pPr>
    </w:p>
    <w:p w14:paraId="2F72FBEC" w14:textId="1299248C" w:rsidR="001D5C79" w:rsidRPr="001D5C79" w:rsidRDefault="001D5C79" w:rsidP="001D5C79">
      <w:pPr>
        <w:pBdr>
          <w:top w:val="single" w:sz="4" w:space="1" w:color="auto"/>
          <w:left w:val="single" w:sz="4" w:space="4" w:color="auto"/>
          <w:bottom w:val="single" w:sz="4" w:space="0" w:color="auto"/>
          <w:right w:val="single" w:sz="4" w:space="4" w:color="auto"/>
        </w:pBdr>
        <w:rPr>
          <w:i/>
        </w:rPr>
      </w:pPr>
      <w:r w:rsidRPr="00243EA2">
        <w:rPr>
          <w:b/>
          <w:i/>
          <w:color w:val="009AA6"/>
        </w:rPr>
        <w:t>Helpful Resource</w:t>
      </w:r>
      <w:r w:rsidRPr="00243EA2">
        <w:rPr>
          <w:color w:val="009AA6"/>
        </w:rPr>
        <w:t>:</w:t>
      </w:r>
      <w:r>
        <w:t xml:space="preserve">  </w:t>
      </w:r>
      <w:r w:rsidRPr="001D5C79">
        <w:rPr>
          <w:i/>
        </w:rPr>
        <w:t>Credentials of Value: State Strategies for Identifying and Endorsing Industry-Recognized Credentials</w:t>
      </w:r>
      <w:r>
        <w:t xml:space="preserve">: </w:t>
      </w:r>
      <w:hyperlink r:id="rId53" w:history="1">
        <w:r w:rsidRPr="00D928BF">
          <w:rPr>
            <w:rStyle w:val="Hyperlink"/>
          </w:rPr>
          <w:t>https://careertech.org/resource/credentials-of-value</w:t>
        </w:r>
      </w:hyperlink>
      <w:r>
        <w:t xml:space="preserve"> </w:t>
      </w:r>
    </w:p>
    <w:p w14:paraId="693757F6" w14:textId="77777777" w:rsidR="001D5C79" w:rsidRDefault="001D5C79" w:rsidP="001D5C79">
      <w:pPr>
        <w:pBdr>
          <w:top w:val="single" w:sz="4" w:space="1" w:color="auto"/>
          <w:left w:val="single" w:sz="4" w:space="4" w:color="auto"/>
          <w:bottom w:val="single" w:sz="4" w:space="0" w:color="auto"/>
          <w:right w:val="single" w:sz="4" w:space="4" w:color="auto"/>
        </w:pBdr>
      </w:pPr>
    </w:p>
    <w:p w14:paraId="0B36604C" w14:textId="5C493228" w:rsidR="001D5C79" w:rsidRDefault="001D5C79" w:rsidP="001D5C79">
      <w:pPr>
        <w:pBdr>
          <w:top w:val="single" w:sz="4" w:space="1" w:color="auto"/>
          <w:left w:val="single" w:sz="4" w:space="4" w:color="auto"/>
          <w:bottom w:val="single" w:sz="4" w:space="0" w:color="auto"/>
          <w:right w:val="single" w:sz="4" w:space="4" w:color="auto"/>
        </w:pBdr>
      </w:pPr>
      <w:r w:rsidRPr="001D5C79">
        <w:rPr>
          <w:i/>
        </w:rPr>
        <w:t>Connecting Credentials: Making the Case for Reforming the U.S. Credentialing System</w:t>
      </w:r>
      <w:r>
        <w:rPr>
          <w:i/>
        </w:rPr>
        <w:t xml:space="preserve">: </w:t>
      </w:r>
      <w:hyperlink r:id="rId54" w:history="1">
        <w:r w:rsidRPr="001D5C79">
          <w:rPr>
            <w:rStyle w:val="Hyperlink"/>
          </w:rPr>
          <w:t>http://connectingcredentials.org/wp-content/uploads/2015/06/MakingTheCase-6-8-15.pdf</w:t>
        </w:r>
      </w:hyperlink>
      <w:r>
        <w:rPr>
          <w:i/>
        </w:rPr>
        <w:t xml:space="preserve"> </w:t>
      </w:r>
      <w:r>
        <w:t xml:space="preserve"> </w:t>
      </w:r>
    </w:p>
    <w:p w14:paraId="7F161194" w14:textId="77777777" w:rsidR="00C34F62" w:rsidRDefault="00C34F62" w:rsidP="001D5C79">
      <w:pPr>
        <w:pBdr>
          <w:top w:val="single" w:sz="4" w:space="1" w:color="auto"/>
          <w:left w:val="single" w:sz="4" w:space="4" w:color="auto"/>
          <w:bottom w:val="single" w:sz="4" w:space="0" w:color="auto"/>
          <w:right w:val="single" w:sz="4" w:space="4" w:color="auto"/>
        </w:pBdr>
      </w:pPr>
    </w:p>
    <w:p w14:paraId="2488CED1" w14:textId="77777777" w:rsidR="001D5C79" w:rsidRPr="00F87C73" w:rsidRDefault="001D5C79" w:rsidP="00F87C73"/>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F86111" w14:paraId="08D0B21F" w14:textId="77777777" w:rsidTr="00C34F62">
        <w:trPr>
          <w:trHeight w:val="49"/>
        </w:trPr>
        <w:tc>
          <w:tcPr>
            <w:tcW w:w="1710" w:type="dxa"/>
            <w:shd w:val="clear" w:color="auto" w:fill="F2F2F2" w:themeFill="background1" w:themeFillShade="F2"/>
            <w:tcMar>
              <w:top w:w="72" w:type="dxa"/>
              <w:left w:w="115" w:type="dxa"/>
              <w:right w:w="115" w:type="dxa"/>
            </w:tcMar>
          </w:tcPr>
          <w:p w14:paraId="6440673A" w14:textId="77777777" w:rsidR="00F86111" w:rsidRPr="006169A9" w:rsidRDefault="00F86111" w:rsidP="003E616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15C50EA3" w14:textId="54E4995C" w:rsidR="0073209B" w:rsidRDefault="0073209B" w:rsidP="0073209B">
            <w:pPr>
              <w:rPr>
                <w:lang w:val="en-GB"/>
              </w:rPr>
            </w:pPr>
            <w:r>
              <w:rPr>
                <w:lang w:val="en-GB"/>
              </w:rPr>
              <w:t>Credentials</w:t>
            </w:r>
            <w:r w:rsidRPr="004F0CC8">
              <w:rPr>
                <w:lang w:val="en-GB"/>
              </w:rPr>
              <w:t xml:space="preserve"> promoted by states should be aligned with programs of study </w:t>
            </w:r>
            <w:r w:rsidR="00FE636C">
              <w:rPr>
                <w:lang w:val="en-GB"/>
              </w:rPr>
              <w:t>so</w:t>
            </w:r>
            <w:r w:rsidRPr="004F0CC8">
              <w:rPr>
                <w:lang w:val="en-GB"/>
              </w:rPr>
              <w:t xml:space="preserve"> that </w:t>
            </w:r>
            <w:r w:rsidR="009B2041">
              <w:rPr>
                <w:lang w:val="en-GB"/>
              </w:rPr>
              <w:t>learners</w:t>
            </w:r>
            <w:r w:rsidRPr="004F0CC8">
              <w:rPr>
                <w:lang w:val="en-GB"/>
              </w:rPr>
              <w:t xml:space="preserve"> will be prepared to sit for the certification with little to no additional studying or coursework required</w:t>
            </w:r>
            <w:r>
              <w:rPr>
                <w:lang w:val="en-GB"/>
              </w:rPr>
              <w:t xml:space="preserve">. This requires credentials to be part of the program of study design and approval process – and should also be part of the evidence collected as part of a program of study’s review. </w:t>
            </w:r>
          </w:p>
          <w:p w14:paraId="43CF52A4" w14:textId="77777777" w:rsidR="0073209B" w:rsidRDefault="0073209B" w:rsidP="003E6168"/>
          <w:p w14:paraId="3A0770B1" w14:textId="62B74F98" w:rsidR="00F87C73" w:rsidRDefault="00F87C73" w:rsidP="00F87C73">
            <w:r>
              <w:t>While the default type of “credential” many thin</w:t>
            </w:r>
            <w:r w:rsidR="00424EA6">
              <w:t>k</w:t>
            </w:r>
            <w:r>
              <w:t xml:space="preserve"> of </w:t>
            </w:r>
            <w:r w:rsidR="00FE636C">
              <w:t xml:space="preserve">first </w:t>
            </w:r>
            <w:r>
              <w:t xml:space="preserve">are “industry-recognized credentials,” there are other forms such credentials can take on, particularly in Career Clusters and fields that do not have ready-made </w:t>
            </w:r>
            <w:r w:rsidR="004D36A8">
              <w:t>industry-recognized credentials</w:t>
            </w:r>
            <w:r w:rsidR="007009B9">
              <w:t xml:space="preserve">. </w:t>
            </w:r>
            <w:r>
              <w:t>A few other options include:</w:t>
            </w:r>
          </w:p>
          <w:p w14:paraId="4A7AF8E9" w14:textId="2DCCE4D8" w:rsidR="00F87C73" w:rsidRDefault="00F87C73" w:rsidP="009037B2">
            <w:pPr>
              <w:pStyle w:val="ListParagraph"/>
              <w:numPr>
                <w:ilvl w:val="0"/>
                <w:numId w:val="22"/>
              </w:numPr>
            </w:pPr>
            <w:r>
              <w:t xml:space="preserve">Early postsecondary credit (or even a full associate’s degree in early </w:t>
            </w:r>
            <w:r w:rsidR="006D4B63">
              <w:t>college high sc</w:t>
            </w:r>
            <w:r>
              <w:t>hool models)</w:t>
            </w:r>
            <w:r w:rsidR="007009B9">
              <w:t xml:space="preserve">; </w:t>
            </w:r>
          </w:p>
          <w:p w14:paraId="6AABEED7" w14:textId="093C9E88" w:rsidR="006D4B63" w:rsidRDefault="00F87C73" w:rsidP="009037B2">
            <w:pPr>
              <w:pStyle w:val="ListParagraph"/>
              <w:numPr>
                <w:ilvl w:val="0"/>
                <w:numId w:val="22"/>
              </w:numPr>
            </w:pPr>
            <w:r>
              <w:t xml:space="preserve">Work-based learning capstones (for example, </w:t>
            </w:r>
            <w:r w:rsidR="00606BD0" w:rsidRPr="00606BD0">
              <w:rPr>
                <w:b/>
              </w:rPr>
              <w:t>Wisconsin</w:t>
            </w:r>
            <w:r>
              <w:t xml:space="preserve"> is developing a certification for </w:t>
            </w:r>
            <w:r w:rsidR="009B2041">
              <w:t>learners</w:t>
            </w:r>
            <w:r>
              <w:t xml:space="preserve"> who complete their Youth Apprenticeship experience)</w:t>
            </w:r>
            <w:r w:rsidR="007009B9">
              <w:t xml:space="preserve">; </w:t>
            </w:r>
          </w:p>
          <w:p w14:paraId="287405CA" w14:textId="060B8D6B" w:rsidR="007009B9" w:rsidRDefault="007009B9" w:rsidP="009037B2">
            <w:pPr>
              <w:pStyle w:val="ListParagraph"/>
              <w:numPr>
                <w:ilvl w:val="0"/>
                <w:numId w:val="22"/>
              </w:numPr>
            </w:pPr>
            <w:r>
              <w:t>Portfolios or capstone projects; and</w:t>
            </w:r>
          </w:p>
          <w:p w14:paraId="62062BB3" w14:textId="3969898E" w:rsidR="003E4F12" w:rsidRDefault="00F87C73" w:rsidP="00EE58A1">
            <w:pPr>
              <w:pStyle w:val="ListParagraph"/>
              <w:numPr>
                <w:ilvl w:val="0"/>
                <w:numId w:val="22"/>
              </w:numPr>
              <w:rPr>
                <w:lang w:val="en-GB"/>
              </w:rPr>
            </w:pPr>
            <w:r>
              <w:t>Postsecondary certificate or degree</w:t>
            </w:r>
            <w:r w:rsidR="007009B9">
              <w:t>.</w:t>
            </w:r>
          </w:p>
          <w:p w14:paraId="21C7516A" w14:textId="77777777" w:rsidR="00712F75" w:rsidRDefault="00712F75" w:rsidP="00747C6B">
            <w:pPr>
              <w:rPr>
                <w:lang w:val="en-GB"/>
              </w:rPr>
            </w:pPr>
          </w:p>
          <w:p w14:paraId="16605605" w14:textId="43418C3B" w:rsidR="004F0CC8" w:rsidRPr="00BF67C8" w:rsidRDefault="00F87C73" w:rsidP="00BF67C8">
            <w:pPr>
              <w:spacing w:after="120"/>
            </w:pPr>
            <w:r>
              <w:t xml:space="preserve">What is most important is that you have a process for </w:t>
            </w:r>
            <w:r w:rsidR="006D4B63">
              <w:t>identifying and incentivizing</w:t>
            </w:r>
            <w:r>
              <w:t xml:space="preserve"> those credentials that</w:t>
            </w:r>
            <w:r w:rsidR="006D4B63">
              <w:t xml:space="preserve"> have value in the labor </w:t>
            </w:r>
            <w:r w:rsidR="00E95C9E">
              <w:t xml:space="preserve">market </w:t>
            </w:r>
            <w:r w:rsidR="006D4B63">
              <w:t xml:space="preserve">– and then embedding them within key policies, such as program approval and accountability systems. </w:t>
            </w:r>
          </w:p>
        </w:tc>
      </w:tr>
      <w:tr w:rsidR="00F86111" w14:paraId="39343787" w14:textId="77777777" w:rsidTr="000C763C">
        <w:trPr>
          <w:trHeight w:val="918"/>
        </w:trPr>
        <w:tc>
          <w:tcPr>
            <w:tcW w:w="1710" w:type="dxa"/>
            <w:shd w:val="clear" w:color="auto" w:fill="D5FCFF"/>
            <w:tcMar>
              <w:top w:w="72" w:type="dxa"/>
              <w:left w:w="115" w:type="dxa"/>
              <w:right w:w="115" w:type="dxa"/>
            </w:tcMar>
          </w:tcPr>
          <w:p w14:paraId="494DFA7F" w14:textId="060EEFA0" w:rsidR="00F86111" w:rsidRPr="006169A9" w:rsidRDefault="00F86111" w:rsidP="003E6168">
            <w:pPr>
              <w:rPr>
                <w:b/>
              </w:rPr>
            </w:pPr>
            <w:r>
              <w:rPr>
                <w:b/>
              </w:rPr>
              <w:t>State Example</w:t>
            </w:r>
            <w:r w:rsidR="0071186B">
              <w:rPr>
                <w:b/>
              </w:rPr>
              <w:t>s</w:t>
            </w:r>
            <w:r>
              <w:rPr>
                <w:b/>
              </w:rPr>
              <w:t xml:space="preserve"> </w:t>
            </w:r>
          </w:p>
        </w:tc>
        <w:tc>
          <w:tcPr>
            <w:tcW w:w="7758" w:type="dxa"/>
            <w:shd w:val="clear" w:color="auto" w:fill="D5FCFF"/>
            <w:tcMar>
              <w:top w:w="72" w:type="dxa"/>
              <w:left w:w="115" w:type="dxa"/>
              <w:right w:w="115" w:type="dxa"/>
            </w:tcMar>
          </w:tcPr>
          <w:p w14:paraId="4F8FAC8F" w14:textId="0F5F0E03" w:rsidR="005D1F64" w:rsidRDefault="005D1F64" w:rsidP="005D1F64">
            <w:r>
              <w:t xml:space="preserve">At the secondary level, </w:t>
            </w:r>
            <w:r w:rsidRPr="00836637">
              <w:rPr>
                <w:b/>
              </w:rPr>
              <w:t>Louisiana’s</w:t>
            </w:r>
            <w:r>
              <w:t xml:space="preserve"> Jumpstart Pathways are anchored in industry-based credentials, as identified by industry, and maintained by the Louisiana Workforce Investment Council. </w:t>
            </w:r>
          </w:p>
          <w:p w14:paraId="55DBBC4B" w14:textId="77777777" w:rsidR="004D36A8" w:rsidRDefault="00934C08" w:rsidP="005D1F64">
            <w:hyperlink r:id="rId55" w:history="1">
              <w:r w:rsidR="004D36A8" w:rsidRPr="004D36A8">
                <w:rPr>
                  <w:rStyle w:val="Hyperlink"/>
                </w:rPr>
                <w:t>Link</w:t>
              </w:r>
            </w:hyperlink>
          </w:p>
          <w:p w14:paraId="69D37AFC" w14:textId="77777777" w:rsidR="004E6EA0" w:rsidRDefault="004E6EA0" w:rsidP="005D1F64"/>
          <w:p w14:paraId="71220B68" w14:textId="1F1F3E5F" w:rsidR="004E6EA0" w:rsidRDefault="00D001E9" w:rsidP="005D1F64">
            <w:r w:rsidRPr="00D001E9">
              <w:rPr>
                <w:b/>
              </w:rPr>
              <w:t>Florida</w:t>
            </w:r>
            <w:r>
              <w:t xml:space="preserve"> has a robust list of industry-based credentials for learners at multiple levels</w:t>
            </w:r>
            <w:r w:rsidR="007009B9">
              <w:t>.</w:t>
            </w:r>
            <w:r>
              <w:t xml:space="preserve"> </w:t>
            </w:r>
          </w:p>
          <w:p w14:paraId="0C934DAE" w14:textId="4214E500" w:rsidR="00FE636C" w:rsidRDefault="00934C08" w:rsidP="005D1F64">
            <w:hyperlink r:id="rId56" w:history="1">
              <w:r w:rsidR="00FE636C" w:rsidRPr="00FE636C">
                <w:rPr>
                  <w:rStyle w:val="Hyperlink"/>
                </w:rPr>
                <w:t>Link</w:t>
              </w:r>
            </w:hyperlink>
          </w:p>
          <w:p w14:paraId="5BF14BB6" w14:textId="77777777" w:rsidR="004D36A8" w:rsidRDefault="004D36A8" w:rsidP="003E6168"/>
          <w:p w14:paraId="1B3173F9" w14:textId="44AD83C2" w:rsidR="004D36A8" w:rsidRDefault="007009B9" w:rsidP="003E6168">
            <w:r w:rsidRPr="007009B9">
              <w:rPr>
                <w:b/>
              </w:rPr>
              <w:lastRenderedPageBreak/>
              <w:t>New Jersey</w:t>
            </w:r>
            <w:r>
              <w:t xml:space="preserve"> recently published a statewide list of industry-recognized credentials</w:t>
            </w:r>
            <w:r w:rsidR="00BF67C8">
              <w:t>, which identifies alignment to the 16 Career Clusters</w:t>
            </w:r>
            <w:r>
              <w:t xml:space="preserve">. </w:t>
            </w:r>
          </w:p>
          <w:p w14:paraId="52F26C5E" w14:textId="2BD3C563" w:rsidR="000C763C" w:rsidRPr="000C763C" w:rsidRDefault="00934C08" w:rsidP="00BF67C8">
            <w:pPr>
              <w:spacing w:after="120"/>
              <w:rPr>
                <w:color w:val="0563C1" w:themeColor="hyperlink"/>
                <w:u w:val="single"/>
              </w:rPr>
            </w:pPr>
            <w:hyperlink r:id="rId57" w:history="1">
              <w:r w:rsidR="007009B9" w:rsidRPr="007009B9">
                <w:rPr>
                  <w:rStyle w:val="Hyperlink"/>
                </w:rPr>
                <w:t>Link</w:t>
              </w:r>
            </w:hyperlink>
          </w:p>
        </w:tc>
      </w:tr>
    </w:tbl>
    <w:p w14:paraId="234306AB" w14:textId="533AE981" w:rsidR="00BE7FE4" w:rsidRDefault="00BE7FE4" w:rsidP="00BE7FE4"/>
    <w:p w14:paraId="5D6392AE" w14:textId="3B8452EB" w:rsidR="005272A7" w:rsidRPr="002A6387" w:rsidRDefault="005272A7" w:rsidP="005272A7">
      <w:pPr>
        <w:pStyle w:val="Heading3"/>
        <w:rPr>
          <w:b/>
        </w:rPr>
      </w:pPr>
      <w:bookmarkStart w:id="30" w:name="_Toc504573070"/>
      <w:r w:rsidRPr="002A6387">
        <w:rPr>
          <w:b/>
        </w:rPr>
        <w:t xml:space="preserve">Key Questions: </w:t>
      </w:r>
      <w:r>
        <w:rPr>
          <w:b/>
        </w:rPr>
        <w:t>Credentials of Value</w:t>
      </w:r>
      <w:bookmarkEnd w:id="30"/>
    </w:p>
    <w:p w14:paraId="4FFEFEC4" w14:textId="77777777" w:rsidR="005272A7" w:rsidRDefault="005272A7" w:rsidP="005272A7">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429"/>
        <w:gridCol w:w="3498"/>
        <w:gridCol w:w="5063"/>
      </w:tblGrid>
      <w:tr w:rsidR="00F87C73" w:rsidRPr="006169A9" w14:paraId="4FB8E251" w14:textId="77777777">
        <w:trPr>
          <w:trHeight w:val="170"/>
          <w:tblHeader/>
        </w:trPr>
        <w:tc>
          <w:tcPr>
            <w:tcW w:w="1429" w:type="dxa"/>
            <w:shd w:val="clear" w:color="auto" w:fill="F2F2F2" w:themeFill="background1" w:themeFillShade="F2"/>
            <w:tcMar>
              <w:top w:w="72" w:type="dxa"/>
              <w:left w:w="115" w:type="dxa"/>
              <w:right w:w="115" w:type="dxa"/>
            </w:tcMar>
            <w:vAlign w:val="center"/>
          </w:tcPr>
          <w:p w14:paraId="04809214" w14:textId="77777777" w:rsidR="00F87C73" w:rsidRPr="006169A9" w:rsidRDefault="00F87C73" w:rsidP="008B3767">
            <w:pPr>
              <w:pStyle w:val="Heading4"/>
              <w:outlineLvl w:val="3"/>
            </w:pPr>
            <w:r>
              <w:br w:type="page"/>
            </w:r>
          </w:p>
        </w:tc>
        <w:tc>
          <w:tcPr>
            <w:tcW w:w="3498" w:type="dxa"/>
            <w:shd w:val="clear" w:color="auto" w:fill="F2F2F2" w:themeFill="background1" w:themeFillShade="F2"/>
            <w:tcMar>
              <w:top w:w="72" w:type="dxa"/>
              <w:left w:w="115" w:type="dxa"/>
              <w:right w:w="115" w:type="dxa"/>
            </w:tcMar>
          </w:tcPr>
          <w:p w14:paraId="5370B9D1" w14:textId="77777777" w:rsidR="00F87C73" w:rsidRPr="006169A9" w:rsidRDefault="00F87C73" w:rsidP="008B3767">
            <w:pPr>
              <w:jc w:val="center"/>
              <w:rPr>
                <w:b/>
                <w:i/>
                <w:sz w:val="24"/>
              </w:rPr>
            </w:pPr>
            <w:r>
              <w:rPr>
                <w:b/>
                <w:i/>
                <w:sz w:val="24"/>
              </w:rPr>
              <w:t>Key Questions</w:t>
            </w:r>
          </w:p>
        </w:tc>
        <w:tc>
          <w:tcPr>
            <w:tcW w:w="5063" w:type="dxa"/>
            <w:shd w:val="clear" w:color="auto" w:fill="F2F2F2" w:themeFill="background1" w:themeFillShade="F2"/>
            <w:tcMar>
              <w:top w:w="72" w:type="dxa"/>
              <w:left w:w="115" w:type="dxa"/>
              <w:right w:w="115" w:type="dxa"/>
            </w:tcMar>
          </w:tcPr>
          <w:p w14:paraId="26957BBE" w14:textId="77777777" w:rsidR="003E4F12" w:rsidRDefault="00606BD0" w:rsidP="00EE58A1">
            <w:pPr>
              <w:jc w:val="center"/>
            </w:pPr>
            <w:r w:rsidRPr="00EE58A1">
              <w:rPr>
                <w:b/>
                <w:i/>
                <w:sz w:val="24"/>
              </w:rPr>
              <w:t>State Response</w:t>
            </w:r>
          </w:p>
        </w:tc>
      </w:tr>
      <w:tr w:rsidR="006D4B63" w14:paraId="21BCA7C8" w14:textId="77777777">
        <w:trPr>
          <w:trHeight w:val="763"/>
          <w:tblHeader/>
        </w:trPr>
        <w:tc>
          <w:tcPr>
            <w:tcW w:w="1429" w:type="dxa"/>
            <w:vMerge w:val="restart"/>
            <w:tcMar>
              <w:top w:w="72" w:type="dxa"/>
              <w:left w:w="115" w:type="dxa"/>
              <w:right w:w="115" w:type="dxa"/>
            </w:tcMar>
            <w:vAlign w:val="center"/>
          </w:tcPr>
          <w:p w14:paraId="02CF2368" w14:textId="77777777" w:rsidR="003E4F12" w:rsidRDefault="00606BD0" w:rsidP="007A798E">
            <w:r w:rsidRPr="00606BD0">
              <w:rPr>
                <w:b/>
                <w:i/>
                <w:sz w:val="24"/>
              </w:rPr>
              <w:t>Credentials of Value</w:t>
            </w:r>
          </w:p>
        </w:tc>
        <w:tc>
          <w:tcPr>
            <w:tcW w:w="3498" w:type="dxa"/>
            <w:tcMar>
              <w:top w:w="72" w:type="dxa"/>
              <w:left w:w="115" w:type="dxa"/>
              <w:right w:w="115" w:type="dxa"/>
            </w:tcMar>
          </w:tcPr>
          <w:p w14:paraId="5F8E086C" w14:textId="2A395F46" w:rsidR="006D4B63" w:rsidRPr="00747C6B" w:rsidRDefault="006D4B63" w:rsidP="00887264">
            <w:pPr>
              <w:spacing w:after="120"/>
              <w:rPr>
                <w:rFonts w:eastAsia="Times New Roman" w:cs="Arial"/>
                <w:color w:val="000000"/>
              </w:rPr>
            </w:pPr>
            <w:r>
              <w:rPr>
                <w:rFonts w:eastAsia="Times New Roman" w:cs="Arial"/>
                <w:color w:val="000000"/>
              </w:rPr>
              <w:t>Are credentials a component of your program of study approval process</w:t>
            </w:r>
            <w:r w:rsidR="00EE58A1">
              <w:rPr>
                <w:rFonts w:eastAsia="Times New Roman" w:cs="Arial"/>
                <w:color w:val="000000"/>
              </w:rPr>
              <w:t xml:space="preserve"> at the secondary and postsecondary levels</w:t>
            </w:r>
            <w:r>
              <w:rPr>
                <w:rFonts w:eastAsia="Times New Roman" w:cs="Arial"/>
                <w:color w:val="000000"/>
              </w:rPr>
              <w:t>?</w:t>
            </w:r>
          </w:p>
        </w:tc>
        <w:tc>
          <w:tcPr>
            <w:tcW w:w="5063" w:type="dxa"/>
            <w:tcMar>
              <w:top w:w="72" w:type="dxa"/>
              <w:left w:w="115" w:type="dxa"/>
              <w:right w:w="115" w:type="dxa"/>
            </w:tcMar>
          </w:tcPr>
          <w:p w14:paraId="66E6078D" w14:textId="77777777" w:rsidR="006D4B63" w:rsidRDefault="006D4B63" w:rsidP="00D001E9">
            <w:pPr>
              <w:pStyle w:val="Heading4"/>
              <w:outlineLvl w:val="3"/>
            </w:pPr>
          </w:p>
        </w:tc>
      </w:tr>
      <w:tr w:rsidR="006D4B63" w14:paraId="75E8C5CE" w14:textId="77777777">
        <w:trPr>
          <w:trHeight w:val="1029"/>
          <w:tblHeader/>
        </w:trPr>
        <w:tc>
          <w:tcPr>
            <w:tcW w:w="1429" w:type="dxa"/>
            <w:vMerge/>
            <w:tcMar>
              <w:top w:w="72" w:type="dxa"/>
              <w:left w:w="115" w:type="dxa"/>
              <w:right w:w="115" w:type="dxa"/>
            </w:tcMar>
          </w:tcPr>
          <w:p w14:paraId="5D7D6B49" w14:textId="77777777" w:rsidR="006D4B63" w:rsidRPr="006169A9" w:rsidRDefault="006D4B63" w:rsidP="00D001E9">
            <w:pPr>
              <w:pStyle w:val="Heading4"/>
              <w:outlineLvl w:val="3"/>
            </w:pPr>
          </w:p>
        </w:tc>
        <w:tc>
          <w:tcPr>
            <w:tcW w:w="3498" w:type="dxa"/>
            <w:tcMar>
              <w:top w:w="72" w:type="dxa"/>
              <w:left w:w="115" w:type="dxa"/>
              <w:right w:w="115" w:type="dxa"/>
            </w:tcMar>
          </w:tcPr>
          <w:p w14:paraId="2F89C23C" w14:textId="14A1EB8C" w:rsidR="006D4B63" w:rsidRPr="00C501C0" w:rsidRDefault="006D4B63" w:rsidP="00D001E9">
            <w:pPr>
              <w:spacing w:after="120"/>
            </w:pPr>
            <w:r>
              <w:rPr>
                <w:rFonts w:eastAsia="Times New Roman" w:cs="Arial"/>
                <w:color w:val="000000"/>
              </w:rPr>
              <w:t>Does your state provide a validated list of industry-recognized credentials to districts and postsecondary institutions?</w:t>
            </w:r>
            <w:r w:rsidR="00EE58A1">
              <w:rPr>
                <w:rFonts w:eastAsia="Times New Roman" w:cs="Arial"/>
                <w:color w:val="000000"/>
              </w:rPr>
              <w:t xml:space="preserve"> If yes, is it the same list?</w:t>
            </w:r>
          </w:p>
        </w:tc>
        <w:tc>
          <w:tcPr>
            <w:tcW w:w="5063" w:type="dxa"/>
            <w:tcMar>
              <w:top w:w="72" w:type="dxa"/>
              <w:left w:w="115" w:type="dxa"/>
              <w:right w:w="115" w:type="dxa"/>
            </w:tcMar>
          </w:tcPr>
          <w:p w14:paraId="52ED5528" w14:textId="77777777" w:rsidR="006D4B63" w:rsidRDefault="006D4B63" w:rsidP="00D001E9">
            <w:pPr>
              <w:pStyle w:val="Heading4"/>
              <w:outlineLvl w:val="3"/>
            </w:pPr>
          </w:p>
        </w:tc>
      </w:tr>
      <w:tr w:rsidR="006D4B63" w14:paraId="7086ABCD" w14:textId="77777777">
        <w:trPr>
          <w:trHeight w:val="1027"/>
          <w:tblHeader/>
        </w:trPr>
        <w:tc>
          <w:tcPr>
            <w:tcW w:w="1429" w:type="dxa"/>
            <w:vMerge/>
            <w:tcMar>
              <w:top w:w="72" w:type="dxa"/>
              <w:left w:w="115" w:type="dxa"/>
              <w:right w:w="115" w:type="dxa"/>
            </w:tcMar>
          </w:tcPr>
          <w:p w14:paraId="7DF96DB6" w14:textId="77777777" w:rsidR="006D4B63" w:rsidRPr="006169A9" w:rsidRDefault="006D4B63" w:rsidP="008B3767">
            <w:pPr>
              <w:pStyle w:val="Heading4"/>
              <w:outlineLvl w:val="3"/>
            </w:pPr>
          </w:p>
        </w:tc>
        <w:tc>
          <w:tcPr>
            <w:tcW w:w="3498" w:type="dxa"/>
            <w:tcMar>
              <w:top w:w="72" w:type="dxa"/>
              <w:left w:w="115" w:type="dxa"/>
              <w:right w:w="115" w:type="dxa"/>
            </w:tcMar>
          </w:tcPr>
          <w:p w14:paraId="64F2E550" w14:textId="77777777" w:rsidR="006D4B63" w:rsidRPr="004F0CC8" w:rsidRDefault="006D4B63" w:rsidP="006D4B63">
            <w:pPr>
              <w:spacing w:after="120"/>
            </w:pPr>
            <w:r w:rsidRPr="004F0CC8">
              <w:rPr>
                <w:lang w:val="en-GB"/>
              </w:rPr>
              <w:t xml:space="preserve">Industry certifications can/should play a meaningful role in your state’s accountability </w:t>
            </w:r>
            <w:r>
              <w:rPr>
                <w:lang w:val="en-GB"/>
              </w:rPr>
              <w:t>systems</w:t>
            </w:r>
            <w:r w:rsidRPr="004F0CC8">
              <w:rPr>
                <w:lang w:val="en-GB"/>
              </w:rPr>
              <w:t>.</w:t>
            </w:r>
          </w:p>
          <w:p w14:paraId="55541430" w14:textId="77777777" w:rsidR="006D4B63" w:rsidRPr="006D4B63" w:rsidRDefault="006D4B63" w:rsidP="009037B2">
            <w:pPr>
              <w:pStyle w:val="ListParagraph"/>
              <w:numPr>
                <w:ilvl w:val="0"/>
                <w:numId w:val="25"/>
              </w:numPr>
              <w:spacing w:after="120"/>
            </w:pPr>
            <w:r w:rsidRPr="006D4B63">
              <w:rPr>
                <w:lang w:val="en-GB"/>
              </w:rPr>
              <w:t xml:space="preserve">Are industry certifications a part of demonstrating technical </w:t>
            </w:r>
            <w:r>
              <w:rPr>
                <w:lang w:val="en-GB"/>
              </w:rPr>
              <w:t>skill attainment in your state?</w:t>
            </w:r>
          </w:p>
          <w:p w14:paraId="15976562" w14:textId="77777777" w:rsidR="006D4B63" w:rsidRPr="006D4B63" w:rsidRDefault="006D4B63" w:rsidP="009037B2">
            <w:pPr>
              <w:pStyle w:val="ListParagraph"/>
              <w:numPr>
                <w:ilvl w:val="0"/>
                <w:numId w:val="25"/>
              </w:numPr>
              <w:spacing w:after="120"/>
            </w:pPr>
            <w:r w:rsidRPr="006D4B63">
              <w:rPr>
                <w:lang w:val="en-GB"/>
              </w:rPr>
              <w:t>Are they used as a state accountability measure</w:t>
            </w:r>
            <w:r>
              <w:rPr>
                <w:lang w:val="en-GB"/>
              </w:rPr>
              <w:t xml:space="preserve"> through ESSA</w:t>
            </w:r>
            <w:r w:rsidRPr="006D4B63">
              <w:rPr>
                <w:lang w:val="en-GB"/>
              </w:rPr>
              <w:t>?</w:t>
            </w:r>
            <w:r>
              <w:rPr>
                <w:lang w:val="en-GB"/>
              </w:rPr>
              <w:t xml:space="preserve"> Through WIOA?</w:t>
            </w:r>
            <w:r w:rsidRPr="006D4B63">
              <w:rPr>
                <w:lang w:val="en-GB"/>
              </w:rPr>
              <w:t xml:space="preserve"> </w:t>
            </w:r>
          </w:p>
          <w:p w14:paraId="6C192250" w14:textId="77777777" w:rsidR="006D4B63" w:rsidRPr="006D4B63" w:rsidRDefault="006D4B63" w:rsidP="009037B2">
            <w:pPr>
              <w:pStyle w:val="ListParagraph"/>
              <w:numPr>
                <w:ilvl w:val="0"/>
                <w:numId w:val="25"/>
              </w:numPr>
              <w:spacing w:after="120"/>
            </w:pPr>
            <w:r w:rsidRPr="006D4B63">
              <w:rPr>
                <w:lang w:val="en-GB"/>
              </w:rPr>
              <w:t>Are student participation and pass rates tracked in your state’s data system?</w:t>
            </w:r>
          </w:p>
        </w:tc>
        <w:tc>
          <w:tcPr>
            <w:tcW w:w="5063" w:type="dxa"/>
            <w:tcMar>
              <w:top w:w="72" w:type="dxa"/>
              <w:left w:w="115" w:type="dxa"/>
              <w:right w:w="115" w:type="dxa"/>
            </w:tcMar>
          </w:tcPr>
          <w:p w14:paraId="1B463C5E" w14:textId="77777777" w:rsidR="006D4B63" w:rsidRDefault="006D4B63" w:rsidP="008B3767">
            <w:pPr>
              <w:pStyle w:val="Heading4"/>
              <w:outlineLvl w:val="3"/>
            </w:pPr>
          </w:p>
        </w:tc>
      </w:tr>
    </w:tbl>
    <w:p w14:paraId="7979C683" w14:textId="77777777" w:rsidR="00DC1721" w:rsidRDefault="00DC1721" w:rsidP="00AF2473">
      <w:pPr>
        <w:rPr>
          <w:lang w:val="en-GB"/>
        </w:rPr>
      </w:pPr>
    </w:p>
    <w:p w14:paraId="592C7A60" w14:textId="77777777" w:rsidR="008B3767" w:rsidRPr="008B3767" w:rsidRDefault="008B3767" w:rsidP="008B3767"/>
    <w:p w14:paraId="1A5FAABD" w14:textId="77777777" w:rsidR="00A549A8" w:rsidRDefault="00A549A8">
      <w:pPr>
        <w:spacing w:after="160" w:line="259" w:lineRule="auto"/>
        <w:rPr>
          <w:rFonts w:eastAsiaTheme="majorEastAsia" w:cstheme="majorBidi"/>
          <w:b/>
          <w:i/>
          <w:color w:val="FF6D14"/>
          <w:sz w:val="24"/>
          <w:szCs w:val="26"/>
        </w:rPr>
      </w:pPr>
      <w:r>
        <w:br w:type="page"/>
      </w:r>
    </w:p>
    <w:p w14:paraId="6325E3C8" w14:textId="77777777" w:rsidR="006A0181" w:rsidRDefault="006A0181" w:rsidP="00C22985">
      <w:pPr>
        <w:pStyle w:val="Heading2"/>
      </w:pPr>
      <w:bookmarkStart w:id="31" w:name="_Toc504573071"/>
      <w:r>
        <w:lastRenderedPageBreak/>
        <w:t xml:space="preserve">Section </w:t>
      </w:r>
      <w:r w:rsidR="00F86111">
        <w:t>4:</w:t>
      </w:r>
      <w:r>
        <w:t xml:space="preserve"> Program </w:t>
      </w:r>
      <w:r w:rsidR="00B313CA">
        <w:t xml:space="preserve">of Study </w:t>
      </w:r>
      <w:r>
        <w:t>Review &amp; Re-Approval</w:t>
      </w:r>
      <w:bookmarkEnd w:id="31"/>
    </w:p>
    <w:p w14:paraId="3FA068AA" w14:textId="6BAA7E8C" w:rsidR="00426C99" w:rsidRPr="00426C99" w:rsidRDefault="007B5415" w:rsidP="00426C99">
      <w:r>
        <w:t>It is</w:t>
      </w:r>
      <w:r w:rsidR="006120EE">
        <w:t xml:space="preserve"> one thing to approve </w:t>
      </w:r>
      <w:r w:rsidR="008B3767">
        <w:t xml:space="preserve">new programs of study that meet criteria around standards, courses, credentials, labor market demand, secondary-postsecondary alignment and other </w:t>
      </w:r>
      <w:r w:rsidR="00933F25">
        <w:t>priorities</w:t>
      </w:r>
      <w:r w:rsidR="006120EE">
        <w:t>. It’s</w:t>
      </w:r>
      <w:r w:rsidR="008B3767">
        <w:t xml:space="preserve"> quite another to build a review and re-approval process that not only collects the right evidence but can also trigger supports and interventions </w:t>
      </w:r>
      <w:r w:rsidR="006120EE">
        <w:t>when</w:t>
      </w:r>
      <w:r w:rsidR="008B3767">
        <w:t xml:space="preserve"> those programs and programs of study </w:t>
      </w:r>
      <w:r w:rsidR="006120EE">
        <w:t xml:space="preserve">are </w:t>
      </w:r>
      <w:r w:rsidR="008B3767">
        <w:t xml:space="preserve">not hitting the mark. </w:t>
      </w:r>
    </w:p>
    <w:p w14:paraId="07DC2903" w14:textId="77777777" w:rsidR="00426C99" w:rsidRPr="00426C99" w:rsidRDefault="00426C99" w:rsidP="00426C99"/>
    <w:p w14:paraId="241E171B" w14:textId="07B3A20C" w:rsidR="003E4F12" w:rsidRDefault="00FC235B" w:rsidP="00EE58A1">
      <w:pPr>
        <w:pBdr>
          <w:top w:val="single" w:sz="4" w:space="1" w:color="auto"/>
          <w:left w:val="single" w:sz="4" w:space="4" w:color="auto"/>
          <w:bottom w:val="single" w:sz="4" w:space="1" w:color="auto"/>
          <w:right w:val="single" w:sz="4" w:space="4" w:color="auto"/>
        </w:pBdr>
        <w:rPr>
          <w:rStyle w:val="Hyperlink"/>
        </w:rPr>
      </w:pPr>
      <w:r>
        <w:t xml:space="preserve"> </w:t>
      </w:r>
      <w:r w:rsidR="00426C99" w:rsidRPr="00243EA2">
        <w:rPr>
          <w:b/>
          <w:i/>
          <w:color w:val="009AA6"/>
        </w:rPr>
        <w:t>Helpful Resource</w:t>
      </w:r>
      <w:r w:rsidR="00426C99" w:rsidRPr="00243EA2">
        <w:rPr>
          <w:color w:val="009AA6"/>
        </w:rPr>
        <w:t>:</w:t>
      </w:r>
      <w:r w:rsidR="00426C99">
        <w:t xml:space="preserve"> </w:t>
      </w:r>
      <w:r w:rsidR="00933F25">
        <w:t xml:space="preserve">Advance CTE’s </w:t>
      </w:r>
      <w:r w:rsidR="00426C99" w:rsidRPr="00933F25">
        <w:rPr>
          <w:i/>
        </w:rPr>
        <w:t>CTE Program Approval Evaluation Criteria</w:t>
      </w:r>
      <w:r w:rsidR="00933F25">
        <w:rPr>
          <w:i/>
        </w:rPr>
        <w:t xml:space="preserve"> </w:t>
      </w:r>
      <w:r w:rsidR="00933F25">
        <w:t xml:space="preserve">identifies </w:t>
      </w:r>
      <w:r w:rsidR="00933F25" w:rsidRPr="00933F25">
        <w:t xml:space="preserve">criteria </w:t>
      </w:r>
      <w:r w:rsidR="00933F25">
        <w:t xml:space="preserve">that </w:t>
      </w:r>
      <w:r w:rsidR="00933F25" w:rsidRPr="00933F25">
        <w:t xml:space="preserve">may be used in an evaluation policy to ensure that approved CTE programs continue to provide high-quality instruction and opportunities for learners. </w:t>
      </w:r>
    </w:p>
    <w:p w14:paraId="3169376F" w14:textId="77777777" w:rsidR="003E4F12" w:rsidRDefault="00934C08" w:rsidP="00EE58A1">
      <w:pPr>
        <w:pBdr>
          <w:top w:val="single" w:sz="4" w:space="1" w:color="auto"/>
          <w:left w:val="single" w:sz="4" w:space="4" w:color="auto"/>
          <w:bottom w:val="single" w:sz="4" w:space="1" w:color="auto"/>
          <w:right w:val="single" w:sz="4" w:space="4" w:color="auto"/>
        </w:pBdr>
        <w:rPr>
          <w:color w:val="0563C1" w:themeColor="hyperlink"/>
          <w:u w:val="single"/>
        </w:rPr>
      </w:pPr>
      <w:hyperlink r:id="rId58" w:history="1">
        <w:r w:rsidR="00700C7D" w:rsidRPr="00700C7D">
          <w:rPr>
            <w:rStyle w:val="Hyperlink"/>
          </w:rPr>
          <w:t>Link</w:t>
        </w:r>
      </w:hyperlink>
    </w:p>
    <w:p w14:paraId="2C8061E3" w14:textId="77777777" w:rsidR="00426C99" w:rsidRDefault="00426C99" w:rsidP="00C22985"/>
    <w:p w14:paraId="477C893E" w14:textId="6A0B0E57" w:rsidR="00040042" w:rsidRDefault="00040042" w:rsidP="00040042">
      <w:pPr>
        <w:rPr>
          <w:i/>
          <w:lang w:val="en-GB"/>
        </w:rPr>
      </w:pPr>
      <w:r>
        <w:rPr>
          <w:i/>
          <w:lang w:val="en-GB"/>
        </w:rPr>
        <w:t xml:space="preserve">NOTE: A future </w:t>
      </w:r>
      <w:r w:rsidRPr="00747C6B">
        <w:rPr>
          <w:i/>
          <w:lang w:val="en-GB"/>
        </w:rPr>
        <w:t xml:space="preserve">module will delve into </w:t>
      </w:r>
      <w:r>
        <w:rPr>
          <w:i/>
          <w:lang w:val="en-GB"/>
        </w:rPr>
        <w:t xml:space="preserve">the use of data in program monitoring and evaluation </w:t>
      </w:r>
      <w:r w:rsidRPr="00747C6B">
        <w:rPr>
          <w:i/>
          <w:lang w:val="en-GB"/>
        </w:rPr>
        <w:t>more broadly</w:t>
      </w:r>
      <w:r>
        <w:rPr>
          <w:i/>
          <w:lang w:val="en-GB"/>
        </w:rPr>
        <w:t xml:space="preserve">. This section will focus simply on program of study review and re-approval. </w:t>
      </w:r>
    </w:p>
    <w:p w14:paraId="5437FCA8" w14:textId="77777777" w:rsidR="00700C7D" w:rsidRDefault="00700C7D" w:rsidP="00C22985"/>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78225C" w14:paraId="79CA1BD6" w14:textId="77777777" w:rsidTr="006120EE">
        <w:trPr>
          <w:trHeight w:val="49"/>
        </w:trPr>
        <w:tc>
          <w:tcPr>
            <w:tcW w:w="1710" w:type="dxa"/>
            <w:shd w:val="clear" w:color="auto" w:fill="F2F2F2" w:themeFill="background1" w:themeFillShade="F2"/>
            <w:tcMar>
              <w:top w:w="72" w:type="dxa"/>
              <w:left w:w="115" w:type="dxa"/>
              <w:right w:w="115" w:type="dxa"/>
            </w:tcMar>
          </w:tcPr>
          <w:p w14:paraId="02E4A5E8" w14:textId="77777777" w:rsidR="0078225C" w:rsidRPr="006169A9" w:rsidRDefault="0078225C" w:rsidP="00472783">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18BD65D6" w14:textId="77777777" w:rsidR="0078225C" w:rsidRDefault="0078225C" w:rsidP="00472783">
            <w:r>
              <w:t xml:space="preserve">A common theme throughout this module is the degree of flexibility states have in how they design, administer and support programs of study – and that flexibility certainly extends to program of study review and re-approval. </w:t>
            </w:r>
          </w:p>
          <w:p w14:paraId="34F89132" w14:textId="44091A9A" w:rsidR="0078225C" w:rsidRDefault="0078225C" w:rsidP="00472783">
            <w:r>
              <w:br/>
              <w:t xml:space="preserve">Perkins’ </w:t>
            </w:r>
            <w:r w:rsidRPr="00040042">
              <w:t>accountability</w:t>
            </w:r>
            <w:r>
              <w:t xml:space="preserve"> largely focuses on the individual student and the local recipient level, rather than the program or program of s</w:t>
            </w:r>
            <w:r w:rsidR="00DA1EF8">
              <w:t xml:space="preserve">tudy level, which is the same as other federal accountability systems, namely </w:t>
            </w:r>
            <w:r w:rsidR="006120EE">
              <w:t>ESSA</w:t>
            </w:r>
            <w:r w:rsidR="00DA1EF8">
              <w:t xml:space="preserve"> and Higher Education Act. </w:t>
            </w:r>
            <w:r w:rsidR="00040042">
              <w:t xml:space="preserve">This is important as it ensures the investment is at the system level, but does require that states play a more hands-on role in </w:t>
            </w:r>
            <w:r w:rsidR="00FE568D">
              <w:t xml:space="preserve">reviewing and validating the quality of </w:t>
            </w:r>
            <w:r w:rsidR="009C6068">
              <w:t xml:space="preserve">individual </w:t>
            </w:r>
            <w:r w:rsidR="00FE568D">
              <w:t>programs and programs of study.</w:t>
            </w:r>
          </w:p>
          <w:p w14:paraId="3EE6FC76" w14:textId="77777777" w:rsidR="00DA1EF8" w:rsidRDefault="00DA1EF8" w:rsidP="00472783"/>
          <w:p w14:paraId="3E7017C7" w14:textId="33B2932F" w:rsidR="0078225C" w:rsidRDefault="006C576A" w:rsidP="00472783">
            <w:r>
              <w:t>The main issues</w:t>
            </w:r>
            <w:r w:rsidR="006120EE">
              <w:t xml:space="preserve"> that</w:t>
            </w:r>
            <w:r>
              <w:t xml:space="preserve"> states </w:t>
            </w:r>
            <w:r w:rsidR="00934DCE">
              <w:t>should</w:t>
            </w:r>
            <w:r>
              <w:t xml:space="preserve"> take under consideration when it comes to building meaningful program of study review</w:t>
            </w:r>
            <w:r w:rsidR="00040042">
              <w:t>/monitoring</w:t>
            </w:r>
            <w:r>
              <w:t xml:space="preserve"> processes are:</w:t>
            </w:r>
          </w:p>
          <w:p w14:paraId="6D4D101F" w14:textId="77777777" w:rsidR="006C576A" w:rsidRDefault="006C576A" w:rsidP="009037B2">
            <w:pPr>
              <w:pStyle w:val="ListParagraph"/>
              <w:numPr>
                <w:ilvl w:val="0"/>
                <w:numId w:val="26"/>
              </w:numPr>
            </w:pPr>
            <w:r>
              <w:t>The review cycle and timeline;</w:t>
            </w:r>
          </w:p>
          <w:p w14:paraId="40706581" w14:textId="2169C2DB" w:rsidR="006C576A" w:rsidRDefault="006C576A" w:rsidP="009037B2">
            <w:pPr>
              <w:pStyle w:val="ListParagraph"/>
              <w:numPr>
                <w:ilvl w:val="0"/>
                <w:numId w:val="26"/>
              </w:numPr>
            </w:pPr>
            <w:r>
              <w:t>The mechanism by which they are reviewing</w:t>
            </w:r>
            <w:r w:rsidR="00040042">
              <w:t xml:space="preserve"> or monitoring</w:t>
            </w:r>
            <w:r>
              <w:t xml:space="preserve"> programs (assuming a mix of in-person and “virtual” audits);</w:t>
            </w:r>
          </w:p>
          <w:p w14:paraId="32F2E39A" w14:textId="2C4E6927" w:rsidR="006C576A" w:rsidRDefault="006C576A" w:rsidP="009037B2">
            <w:pPr>
              <w:pStyle w:val="ListParagraph"/>
              <w:numPr>
                <w:ilvl w:val="0"/>
                <w:numId w:val="26"/>
              </w:numPr>
            </w:pPr>
            <w:r>
              <w:t>The information or evidence required from districts and institutions;</w:t>
            </w:r>
            <w:r w:rsidR="009C6068">
              <w:t xml:space="preserve"> and</w:t>
            </w:r>
          </w:p>
          <w:p w14:paraId="2B124757" w14:textId="24DB79AE" w:rsidR="006C576A" w:rsidRDefault="006C576A" w:rsidP="009037B2">
            <w:pPr>
              <w:pStyle w:val="ListParagraph"/>
              <w:numPr>
                <w:ilvl w:val="0"/>
                <w:numId w:val="26"/>
              </w:numPr>
            </w:pPr>
            <w:r>
              <w:t>Interventions</w:t>
            </w:r>
            <w:r w:rsidR="00040042">
              <w:t>, supports (technical assistance</w:t>
            </w:r>
            <w:r w:rsidR="00934DCE">
              <w:t>)</w:t>
            </w:r>
            <w:r>
              <w:t xml:space="preserve"> or consequences for </w:t>
            </w:r>
            <w:r w:rsidR="00040042">
              <w:t>programs of study</w:t>
            </w:r>
            <w:r>
              <w:t xml:space="preserve"> not able to demonstrate evidence of rigor (student success and outcomes) or relevance (labor market demand).</w:t>
            </w:r>
          </w:p>
          <w:p w14:paraId="77479783" w14:textId="77777777" w:rsidR="0078225C" w:rsidRDefault="0078225C" w:rsidP="00472783"/>
          <w:p w14:paraId="06C5BB85" w14:textId="77777777" w:rsidR="0078225C" w:rsidRDefault="00945DF6" w:rsidP="009C6068">
            <w:pPr>
              <w:spacing w:after="120"/>
              <w:rPr>
                <w:lang w:val="en-GB"/>
              </w:rPr>
            </w:pPr>
            <w:r>
              <w:rPr>
                <w:lang w:val="en-GB"/>
              </w:rPr>
              <w:t>Part of a review process is identifying where certain programs of study are not meeting the need</w:t>
            </w:r>
            <w:r w:rsidR="00040042">
              <w:rPr>
                <w:lang w:val="en-GB"/>
              </w:rPr>
              <w:t xml:space="preserve">s of </w:t>
            </w:r>
            <w:r w:rsidR="009B2041">
              <w:rPr>
                <w:lang w:val="en-GB"/>
              </w:rPr>
              <w:t>learners</w:t>
            </w:r>
            <w:r w:rsidR="00040042">
              <w:rPr>
                <w:lang w:val="en-GB"/>
              </w:rPr>
              <w:t xml:space="preserve"> and/or the economy and providing, as appropriate, technical assistance and resources to bring the program of study to where it needs to be. </w:t>
            </w:r>
          </w:p>
          <w:p w14:paraId="108C84AA" w14:textId="5145BBCC" w:rsidR="007B5415" w:rsidRPr="006C576A" w:rsidRDefault="007B5415" w:rsidP="009C6068">
            <w:pPr>
              <w:spacing w:after="120"/>
            </w:pPr>
            <w:r>
              <w:rPr>
                <w:lang w:val="en-GB"/>
              </w:rPr>
              <w:t>NOTE: State examples will be provided in the module regarding data, which will include a section on program review and re-approval.</w:t>
            </w:r>
          </w:p>
        </w:tc>
      </w:tr>
    </w:tbl>
    <w:p w14:paraId="4F28AAB9" w14:textId="77777777" w:rsidR="00F74A02" w:rsidRDefault="00F74A02" w:rsidP="00C22985"/>
    <w:p w14:paraId="662A4EAD" w14:textId="77777777" w:rsidR="008B3767" w:rsidRPr="002A6387" w:rsidRDefault="008B3767" w:rsidP="008B3767">
      <w:pPr>
        <w:pStyle w:val="Heading3"/>
        <w:rPr>
          <w:b/>
        </w:rPr>
      </w:pPr>
      <w:bookmarkStart w:id="32" w:name="_Toc504573072"/>
      <w:r w:rsidRPr="002A6387">
        <w:rPr>
          <w:b/>
        </w:rPr>
        <w:t xml:space="preserve">Key Questions:  </w:t>
      </w:r>
      <w:r>
        <w:rPr>
          <w:b/>
        </w:rPr>
        <w:t>Program of Study Review</w:t>
      </w:r>
      <w:bookmarkEnd w:id="32"/>
    </w:p>
    <w:p w14:paraId="00192A07" w14:textId="77777777" w:rsidR="008B3767" w:rsidRDefault="008B3767" w:rsidP="008B3767">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038" w:tblpY="170"/>
        <w:tblW w:w="10255" w:type="dxa"/>
        <w:tblLook w:val="04A0" w:firstRow="1" w:lastRow="0" w:firstColumn="1" w:lastColumn="0" w:noHBand="0" w:noVBand="1"/>
      </w:tblPr>
      <w:tblGrid>
        <w:gridCol w:w="1751"/>
        <w:gridCol w:w="3477"/>
        <w:gridCol w:w="5027"/>
      </w:tblGrid>
      <w:tr w:rsidR="008B3767" w:rsidRPr="006169A9" w14:paraId="5B407287" w14:textId="77777777">
        <w:trPr>
          <w:trHeight w:val="170"/>
          <w:tblHeader/>
        </w:trPr>
        <w:tc>
          <w:tcPr>
            <w:tcW w:w="1751" w:type="dxa"/>
            <w:shd w:val="clear" w:color="auto" w:fill="F2F2F2" w:themeFill="background1" w:themeFillShade="F2"/>
            <w:tcMar>
              <w:top w:w="72" w:type="dxa"/>
              <w:left w:w="115" w:type="dxa"/>
              <w:right w:w="115" w:type="dxa"/>
            </w:tcMar>
            <w:vAlign w:val="center"/>
          </w:tcPr>
          <w:p w14:paraId="606E0696" w14:textId="77777777" w:rsidR="008B3767" w:rsidRPr="006169A9" w:rsidRDefault="008B3767" w:rsidP="008B3767">
            <w:pPr>
              <w:pStyle w:val="Heading4"/>
              <w:outlineLvl w:val="3"/>
            </w:pPr>
            <w:r>
              <w:lastRenderedPageBreak/>
              <w:br w:type="page"/>
            </w:r>
          </w:p>
        </w:tc>
        <w:tc>
          <w:tcPr>
            <w:tcW w:w="3477" w:type="dxa"/>
            <w:shd w:val="clear" w:color="auto" w:fill="F2F2F2" w:themeFill="background1" w:themeFillShade="F2"/>
            <w:tcMar>
              <w:top w:w="72" w:type="dxa"/>
              <w:left w:w="115" w:type="dxa"/>
              <w:right w:w="115" w:type="dxa"/>
            </w:tcMar>
          </w:tcPr>
          <w:p w14:paraId="77FFA399" w14:textId="77777777" w:rsidR="008B3767" w:rsidRPr="006169A9" w:rsidRDefault="008B3767" w:rsidP="008B3767">
            <w:pPr>
              <w:jc w:val="center"/>
              <w:rPr>
                <w:b/>
                <w:i/>
                <w:sz w:val="24"/>
              </w:rPr>
            </w:pPr>
            <w:r>
              <w:rPr>
                <w:b/>
                <w:i/>
                <w:sz w:val="24"/>
              </w:rPr>
              <w:t>Key Questions</w:t>
            </w:r>
          </w:p>
        </w:tc>
        <w:tc>
          <w:tcPr>
            <w:tcW w:w="5027" w:type="dxa"/>
            <w:shd w:val="clear" w:color="auto" w:fill="F2F2F2" w:themeFill="background1" w:themeFillShade="F2"/>
            <w:tcMar>
              <w:top w:w="72" w:type="dxa"/>
              <w:left w:w="115" w:type="dxa"/>
              <w:right w:w="115" w:type="dxa"/>
            </w:tcMar>
          </w:tcPr>
          <w:p w14:paraId="25341CC5" w14:textId="77777777" w:rsidR="003E4F12" w:rsidRDefault="00606BD0" w:rsidP="00EE58A1">
            <w:pPr>
              <w:jc w:val="center"/>
            </w:pPr>
            <w:r w:rsidRPr="00EE58A1">
              <w:rPr>
                <w:b/>
                <w:i/>
                <w:sz w:val="24"/>
              </w:rPr>
              <w:t>State Response</w:t>
            </w:r>
          </w:p>
        </w:tc>
      </w:tr>
      <w:tr w:rsidR="00084B3A" w14:paraId="6085A819" w14:textId="77777777" w:rsidTr="00B75FA7">
        <w:trPr>
          <w:trHeight w:val="1385"/>
          <w:tblHeader/>
        </w:trPr>
        <w:tc>
          <w:tcPr>
            <w:tcW w:w="1751" w:type="dxa"/>
            <w:vMerge w:val="restart"/>
            <w:tcMar>
              <w:top w:w="72" w:type="dxa"/>
              <w:left w:w="115" w:type="dxa"/>
              <w:right w:w="115" w:type="dxa"/>
            </w:tcMar>
            <w:vAlign w:val="center"/>
          </w:tcPr>
          <w:p w14:paraId="52769163" w14:textId="77777777" w:rsidR="00084B3A" w:rsidRDefault="00084B3A" w:rsidP="00EE58A1">
            <w:r w:rsidRPr="00EE58A1">
              <w:rPr>
                <w:b/>
                <w:i/>
                <w:sz w:val="24"/>
              </w:rPr>
              <w:t>Program of Study Review</w:t>
            </w:r>
          </w:p>
        </w:tc>
        <w:tc>
          <w:tcPr>
            <w:tcW w:w="3477" w:type="dxa"/>
            <w:tcMar>
              <w:top w:w="72" w:type="dxa"/>
              <w:left w:w="115" w:type="dxa"/>
              <w:right w:w="115" w:type="dxa"/>
            </w:tcMar>
          </w:tcPr>
          <w:p w14:paraId="29B475D5" w14:textId="1E2E2945" w:rsidR="00084B3A" w:rsidRDefault="00084B3A" w:rsidP="00591CD8">
            <w:pPr>
              <w:spacing w:after="120"/>
            </w:pPr>
            <w:r>
              <w:t>Do you have different review/re-approval processes for programs of study vs. programs at the secondary and/or postsecondary levels? If so, why?</w:t>
            </w:r>
          </w:p>
        </w:tc>
        <w:tc>
          <w:tcPr>
            <w:tcW w:w="5027" w:type="dxa"/>
            <w:tcMar>
              <w:top w:w="72" w:type="dxa"/>
              <w:left w:w="115" w:type="dxa"/>
              <w:right w:w="115" w:type="dxa"/>
            </w:tcMar>
          </w:tcPr>
          <w:p w14:paraId="0B193151" w14:textId="77777777" w:rsidR="00084B3A" w:rsidRDefault="00084B3A" w:rsidP="008B3767">
            <w:pPr>
              <w:pStyle w:val="Heading4"/>
              <w:outlineLvl w:val="3"/>
            </w:pPr>
          </w:p>
        </w:tc>
      </w:tr>
      <w:tr w:rsidR="00084B3A" w14:paraId="3DF042F4" w14:textId="77777777">
        <w:trPr>
          <w:trHeight w:val="1027"/>
          <w:tblHeader/>
        </w:trPr>
        <w:tc>
          <w:tcPr>
            <w:tcW w:w="1751" w:type="dxa"/>
            <w:vMerge/>
            <w:tcMar>
              <w:top w:w="72" w:type="dxa"/>
              <w:left w:w="115" w:type="dxa"/>
              <w:right w:w="115" w:type="dxa"/>
            </w:tcMar>
          </w:tcPr>
          <w:p w14:paraId="028E9F5A" w14:textId="77777777" w:rsidR="00084B3A" w:rsidRPr="006169A9" w:rsidRDefault="00084B3A" w:rsidP="00591CD8">
            <w:pPr>
              <w:pStyle w:val="Heading4"/>
              <w:outlineLvl w:val="3"/>
            </w:pPr>
          </w:p>
        </w:tc>
        <w:tc>
          <w:tcPr>
            <w:tcW w:w="3477" w:type="dxa"/>
            <w:tcMar>
              <w:top w:w="72" w:type="dxa"/>
              <w:left w:w="115" w:type="dxa"/>
              <w:right w:w="115" w:type="dxa"/>
            </w:tcMar>
          </w:tcPr>
          <w:p w14:paraId="3483F220" w14:textId="6F06EDFB" w:rsidR="00084B3A" w:rsidRPr="00266DFD" w:rsidRDefault="00084B3A" w:rsidP="008452E1">
            <w:pPr>
              <w:spacing w:after="120"/>
              <w:rPr>
                <w:lang w:val="en-GB"/>
              </w:rPr>
            </w:pPr>
            <w:r>
              <w:rPr>
                <w:lang w:val="en-GB"/>
              </w:rPr>
              <w:t xml:space="preserve">What evidence – beyond Perkins core performance indicators – are you requiring for the review of programs of study?  How does it compare to </w:t>
            </w:r>
            <w:hyperlink r:id="rId59" w:history="1">
              <w:r>
                <w:rPr>
                  <w:rStyle w:val="Hyperlink"/>
                  <w:lang w:val="en-GB"/>
                </w:rPr>
                <w:t xml:space="preserve">the </w:t>
              </w:r>
              <w:r w:rsidRPr="00591CD8">
                <w:rPr>
                  <w:rStyle w:val="Hyperlink"/>
                  <w:lang w:val="en-GB"/>
                </w:rPr>
                <w:t>list generated by Advance CTE</w:t>
              </w:r>
            </w:hyperlink>
            <w:r>
              <w:rPr>
                <w:lang w:val="en-GB"/>
              </w:rPr>
              <w:t>?</w:t>
            </w:r>
          </w:p>
        </w:tc>
        <w:tc>
          <w:tcPr>
            <w:tcW w:w="5027" w:type="dxa"/>
            <w:tcMar>
              <w:top w:w="72" w:type="dxa"/>
              <w:left w:w="115" w:type="dxa"/>
              <w:right w:w="115" w:type="dxa"/>
            </w:tcMar>
          </w:tcPr>
          <w:p w14:paraId="44EC7278" w14:textId="77777777" w:rsidR="00084B3A" w:rsidRDefault="00084B3A" w:rsidP="00591CD8">
            <w:pPr>
              <w:pStyle w:val="Heading4"/>
              <w:outlineLvl w:val="3"/>
            </w:pPr>
          </w:p>
        </w:tc>
      </w:tr>
      <w:tr w:rsidR="00084B3A" w14:paraId="1FE54BAA" w14:textId="77777777">
        <w:trPr>
          <w:trHeight w:val="1027"/>
          <w:tblHeader/>
        </w:trPr>
        <w:tc>
          <w:tcPr>
            <w:tcW w:w="1751" w:type="dxa"/>
            <w:vMerge/>
            <w:tcMar>
              <w:top w:w="72" w:type="dxa"/>
              <w:left w:w="115" w:type="dxa"/>
              <w:right w:w="115" w:type="dxa"/>
            </w:tcMar>
          </w:tcPr>
          <w:p w14:paraId="454570EB" w14:textId="77777777" w:rsidR="00084B3A" w:rsidRPr="006169A9" w:rsidRDefault="00084B3A" w:rsidP="00591CD8">
            <w:pPr>
              <w:pStyle w:val="Heading4"/>
              <w:outlineLvl w:val="3"/>
            </w:pPr>
          </w:p>
        </w:tc>
        <w:tc>
          <w:tcPr>
            <w:tcW w:w="3477" w:type="dxa"/>
            <w:tcMar>
              <w:top w:w="72" w:type="dxa"/>
              <w:left w:w="115" w:type="dxa"/>
              <w:right w:w="115" w:type="dxa"/>
            </w:tcMar>
          </w:tcPr>
          <w:p w14:paraId="1409BEE4" w14:textId="7A5A00FA" w:rsidR="00084B3A" w:rsidRPr="00266DFD" w:rsidRDefault="00084B3A" w:rsidP="00591CD8">
            <w:pPr>
              <w:spacing w:after="120"/>
              <w:rPr>
                <w:lang w:val="en-GB"/>
              </w:rPr>
            </w:pPr>
            <w:r>
              <w:rPr>
                <w:lang w:val="en-GB"/>
              </w:rPr>
              <w:t>How often are you reviewing programs of study jointly at the secondary and postsecondary level? How many programs of study are reviewed each year? Does this give you confidence in your overall program offerings?</w:t>
            </w:r>
          </w:p>
        </w:tc>
        <w:tc>
          <w:tcPr>
            <w:tcW w:w="5027" w:type="dxa"/>
            <w:tcMar>
              <w:top w:w="72" w:type="dxa"/>
              <w:left w:w="115" w:type="dxa"/>
              <w:right w:w="115" w:type="dxa"/>
            </w:tcMar>
          </w:tcPr>
          <w:p w14:paraId="54ECEA4C" w14:textId="77777777" w:rsidR="00084B3A" w:rsidRDefault="00084B3A" w:rsidP="00591CD8">
            <w:pPr>
              <w:pStyle w:val="Heading4"/>
              <w:outlineLvl w:val="3"/>
            </w:pPr>
          </w:p>
        </w:tc>
      </w:tr>
      <w:tr w:rsidR="00084B3A" w14:paraId="0F4D81CF" w14:textId="77777777">
        <w:trPr>
          <w:trHeight w:val="1027"/>
          <w:tblHeader/>
        </w:trPr>
        <w:tc>
          <w:tcPr>
            <w:tcW w:w="1751" w:type="dxa"/>
            <w:vMerge/>
            <w:tcMar>
              <w:top w:w="72" w:type="dxa"/>
              <w:left w:w="115" w:type="dxa"/>
              <w:right w:w="115" w:type="dxa"/>
            </w:tcMar>
          </w:tcPr>
          <w:p w14:paraId="3A947B5F" w14:textId="77777777" w:rsidR="00084B3A" w:rsidRPr="006169A9" w:rsidRDefault="00084B3A" w:rsidP="00591CD8">
            <w:pPr>
              <w:pStyle w:val="Heading4"/>
              <w:outlineLvl w:val="3"/>
            </w:pPr>
          </w:p>
        </w:tc>
        <w:tc>
          <w:tcPr>
            <w:tcW w:w="3477" w:type="dxa"/>
            <w:tcMar>
              <w:top w:w="72" w:type="dxa"/>
              <w:left w:w="115" w:type="dxa"/>
              <w:right w:w="115" w:type="dxa"/>
            </w:tcMar>
          </w:tcPr>
          <w:p w14:paraId="032BCE69" w14:textId="77777777" w:rsidR="00084B3A" w:rsidRDefault="00084B3A" w:rsidP="00591CD8">
            <w:pPr>
              <w:spacing w:after="120"/>
            </w:pPr>
            <w:r>
              <w:t>H</w:t>
            </w:r>
            <w:r w:rsidRPr="00B313CA">
              <w:t>ow many programs of study did not get approved or re-approved</w:t>
            </w:r>
            <w:r>
              <w:t xml:space="preserve"> last year</w:t>
            </w:r>
            <w:r w:rsidRPr="00B313CA">
              <w:t>?</w:t>
            </w:r>
          </w:p>
          <w:p w14:paraId="6D4DB158" w14:textId="58BAB606" w:rsidR="00084B3A" w:rsidRPr="0071186B" w:rsidRDefault="00084B3A" w:rsidP="00591CD8">
            <w:pPr>
              <w:pStyle w:val="ListParagraph"/>
              <w:numPr>
                <w:ilvl w:val="0"/>
                <w:numId w:val="31"/>
              </w:numPr>
              <w:spacing w:after="120"/>
              <w:ind w:left="199" w:hanging="199"/>
            </w:pPr>
            <w:r>
              <w:t>What happened to those not approved or re-approved?</w:t>
            </w:r>
          </w:p>
        </w:tc>
        <w:tc>
          <w:tcPr>
            <w:tcW w:w="5027" w:type="dxa"/>
            <w:tcMar>
              <w:top w:w="72" w:type="dxa"/>
              <w:left w:w="115" w:type="dxa"/>
              <w:right w:w="115" w:type="dxa"/>
            </w:tcMar>
          </w:tcPr>
          <w:p w14:paraId="589961E5" w14:textId="77777777" w:rsidR="00084B3A" w:rsidRDefault="00084B3A" w:rsidP="00591CD8">
            <w:pPr>
              <w:pStyle w:val="Heading4"/>
              <w:outlineLvl w:val="3"/>
            </w:pPr>
          </w:p>
        </w:tc>
      </w:tr>
    </w:tbl>
    <w:p w14:paraId="2B79A017" w14:textId="77777777" w:rsidR="00F74A02" w:rsidRDefault="00F74A02" w:rsidP="00C22985">
      <w:pPr>
        <w:rPr>
          <w:rFonts w:eastAsiaTheme="majorEastAsia" w:cstheme="majorBidi"/>
          <w:noProof/>
          <w:color w:val="009AA6"/>
          <w:sz w:val="32"/>
          <w:szCs w:val="32"/>
        </w:rPr>
      </w:pPr>
    </w:p>
    <w:p w14:paraId="73FF6D8A" w14:textId="77777777" w:rsidR="00027675" w:rsidRDefault="00027675">
      <w:pPr>
        <w:spacing w:after="160" w:line="259" w:lineRule="auto"/>
        <w:rPr>
          <w:rFonts w:eastAsiaTheme="majorEastAsia" w:cstheme="majorBidi"/>
          <w:b/>
          <w:noProof/>
          <w:color w:val="009AA6"/>
          <w:sz w:val="32"/>
          <w:szCs w:val="32"/>
        </w:rPr>
      </w:pPr>
      <w:bookmarkStart w:id="33" w:name="_Toc498690735"/>
      <w:r>
        <w:rPr>
          <w:rFonts w:eastAsiaTheme="majorEastAsia" w:cstheme="majorBidi"/>
          <w:b/>
          <w:noProof/>
          <w:color w:val="009AA6"/>
          <w:sz w:val="32"/>
          <w:szCs w:val="32"/>
        </w:rPr>
        <w:br w:type="page"/>
      </w:r>
    </w:p>
    <w:p w14:paraId="291A4982" w14:textId="77777777" w:rsidR="002936C2" w:rsidRPr="002936C2" w:rsidRDefault="002936C2" w:rsidP="002936C2">
      <w:pPr>
        <w:keepNext/>
        <w:keepLines/>
        <w:spacing w:after="120"/>
        <w:ind w:left="720" w:hanging="720"/>
        <w:outlineLvl w:val="0"/>
        <w:rPr>
          <w:rFonts w:eastAsiaTheme="majorEastAsia" w:cstheme="majorBidi"/>
          <w:b/>
          <w:noProof/>
          <w:color w:val="009AA6"/>
          <w:sz w:val="32"/>
          <w:szCs w:val="32"/>
        </w:rPr>
      </w:pPr>
      <w:bookmarkStart w:id="34" w:name="_Toc504573073"/>
      <w:r w:rsidRPr="002936C2">
        <w:rPr>
          <w:rFonts w:eastAsiaTheme="majorEastAsia" w:cstheme="majorBidi"/>
          <w:b/>
          <w:noProof/>
          <w:color w:val="009AA6"/>
          <w:sz w:val="32"/>
          <w:szCs w:val="32"/>
        </w:rPr>
        <w:lastRenderedPageBreak/>
        <w:t>Final Reflections &amp; Next Steps</w:t>
      </w:r>
      <w:bookmarkEnd w:id="33"/>
      <w:bookmarkEnd w:id="34"/>
      <w:r w:rsidRPr="002936C2">
        <w:rPr>
          <w:rFonts w:eastAsiaTheme="majorEastAsia" w:cstheme="majorBidi"/>
          <w:b/>
          <w:noProof/>
          <w:color w:val="009AA6"/>
          <w:sz w:val="32"/>
          <w:szCs w:val="32"/>
        </w:rPr>
        <w:t xml:space="preserve"> </w:t>
      </w:r>
    </w:p>
    <w:p w14:paraId="7082DC29" w14:textId="77777777" w:rsidR="002936C2" w:rsidRPr="002936C2" w:rsidRDefault="002936C2" w:rsidP="002936C2">
      <w:pPr>
        <w:rPr>
          <w:b/>
          <w:i/>
          <w:sz w:val="24"/>
        </w:rPr>
      </w:pPr>
      <w:r w:rsidRPr="002936C2">
        <w:rPr>
          <w:b/>
          <w:i/>
          <w:sz w:val="24"/>
        </w:rPr>
        <w:t>Post-Module Survey</w:t>
      </w:r>
    </w:p>
    <w:p w14:paraId="67450C39" w14:textId="77777777" w:rsidR="002936C2" w:rsidRPr="002936C2" w:rsidRDefault="002936C2" w:rsidP="002936C2">
      <w:r w:rsidRPr="002936C2">
        <w:t xml:space="preserve">Please take this brief post-module assessment to let us know what you learned and how we can help:  </w:t>
      </w:r>
      <w:hyperlink r:id="rId60" w:history="1">
        <w:r w:rsidRPr="002936C2">
          <w:rPr>
            <w:color w:val="0563C1" w:themeColor="hyperlink"/>
            <w:u w:val="single"/>
          </w:rPr>
          <w:t>https://www.surveymonkey.com/r/NewSDpost-test</w:t>
        </w:r>
      </w:hyperlink>
      <w:r w:rsidRPr="002936C2">
        <w:t xml:space="preserve"> </w:t>
      </w:r>
    </w:p>
    <w:p w14:paraId="5EF2E64F" w14:textId="77777777" w:rsidR="002936C2" w:rsidRPr="002936C2" w:rsidRDefault="002936C2" w:rsidP="002936C2"/>
    <w:p w14:paraId="18FA4488" w14:textId="5F4FF39A" w:rsidR="002936C2" w:rsidRDefault="002936C2" w:rsidP="002936C2">
      <w:pPr>
        <w:rPr>
          <w:b/>
          <w:i/>
          <w:sz w:val="24"/>
        </w:rPr>
      </w:pPr>
      <w:r w:rsidRPr="002936C2">
        <w:rPr>
          <w:b/>
          <w:i/>
          <w:sz w:val="24"/>
        </w:rPr>
        <w:t>Next Steps</w:t>
      </w:r>
    </w:p>
    <w:p w14:paraId="19414040" w14:textId="689D8176" w:rsidR="006120EE" w:rsidRDefault="006120EE" w:rsidP="002936C2">
      <w:r>
        <w:t xml:space="preserve">It’s important to keep the momentum of what you have unpacked through this module. We encourage you to commit to a timeline of what you plan to do in 30, 60 and 90 days. See the helpful chart provided to you in Appendix A.  </w:t>
      </w:r>
    </w:p>
    <w:p w14:paraId="340FBAE8" w14:textId="77777777" w:rsidR="006120EE" w:rsidRPr="006120EE" w:rsidRDefault="006120EE" w:rsidP="002936C2"/>
    <w:p w14:paraId="329A1E99" w14:textId="310BC6AD" w:rsidR="006120EE" w:rsidRDefault="002936C2" w:rsidP="006120EE">
      <w:r w:rsidRPr="00591CD8">
        <w:t>Most importantly, it is our sincerest hope that you already have a list of concrete actions you will take action as a result of this module.  Some may be small steps or changes you can make today while others may require you to build a cohesive plan for more dramatic shifts in the future. Just know that we at Advance CTE stand ready to help as critical friends, content experts, and providers of professional development and technical assistance.</w:t>
      </w:r>
      <w:r w:rsidR="006120EE">
        <w:t xml:space="preserve"> </w:t>
      </w:r>
    </w:p>
    <w:p w14:paraId="2BD1B596" w14:textId="77777777" w:rsidR="006120EE" w:rsidRDefault="006120EE">
      <w:pPr>
        <w:spacing w:after="160" w:line="259" w:lineRule="auto"/>
      </w:pPr>
      <w:r>
        <w:br w:type="page"/>
      </w:r>
    </w:p>
    <w:p w14:paraId="6E174C75" w14:textId="77777777" w:rsidR="007B5415" w:rsidRDefault="007B5415" w:rsidP="006120EE">
      <w:pPr>
        <w:pStyle w:val="Style1"/>
        <w:sectPr w:rsidR="007B5415" w:rsidSect="00CB47C8">
          <w:type w:val="continuous"/>
          <w:pgSz w:w="12240" w:h="15840"/>
          <w:pgMar w:top="1440" w:right="1440" w:bottom="1440" w:left="1440" w:header="720" w:footer="720" w:gutter="0"/>
          <w:cols w:space="720"/>
          <w:titlePg/>
          <w:docGrid w:linePitch="360"/>
        </w:sectPr>
      </w:pPr>
    </w:p>
    <w:p w14:paraId="485647C2" w14:textId="46135100" w:rsidR="006120EE" w:rsidRPr="00084B3A" w:rsidRDefault="006120EE" w:rsidP="00084B3A">
      <w:pPr>
        <w:pStyle w:val="Style1"/>
        <w:numPr>
          <w:ilvl w:val="0"/>
          <w:numId w:val="0"/>
        </w:numPr>
        <w:rPr>
          <w:b/>
        </w:rPr>
      </w:pPr>
      <w:bookmarkStart w:id="35" w:name="_Toc504573074"/>
      <w:r w:rsidRPr="00084B3A">
        <w:rPr>
          <w:b/>
        </w:rPr>
        <w:lastRenderedPageBreak/>
        <w:t>Appendix A: Planning Chart</w:t>
      </w:r>
      <w:bookmarkEnd w:id="35"/>
    </w:p>
    <w:p w14:paraId="0EDD0E15" w14:textId="1A8CF4E1" w:rsidR="007B5415" w:rsidRPr="007B5415" w:rsidRDefault="007B5415" w:rsidP="007B5415">
      <w:pPr>
        <w:jc w:val="center"/>
        <w:rPr>
          <w:b/>
          <w:sz w:val="24"/>
        </w:rPr>
      </w:pPr>
      <w:r w:rsidRPr="007B5415">
        <w:rPr>
          <w:b/>
          <w:sz w:val="24"/>
        </w:rPr>
        <w:t>State CTE Programs of Study</w:t>
      </w:r>
    </w:p>
    <w:p w14:paraId="5171EC8E" w14:textId="5752583B" w:rsidR="007B5415" w:rsidRPr="007B5415" w:rsidRDefault="007B5415" w:rsidP="007B5415">
      <w:pPr>
        <w:jc w:val="center"/>
        <w:rPr>
          <w:b/>
          <w:i/>
          <w:sz w:val="28"/>
        </w:rPr>
      </w:pPr>
      <w:r w:rsidRPr="007B5415">
        <w:rPr>
          <w:b/>
          <w:i/>
          <w:sz w:val="24"/>
        </w:rPr>
        <w:t>High-level Goals and Action Steps</w:t>
      </w:r>
    </w:p>
    <w:p w14:paraId="2C9B27CB" w14:textId="77777777" w:rsidR="007B5415" w:rsidRDefault="007B5415" w:rsidP="006120EE"/>
    <w:tbl>
      <w:tblPr>
        <w:tblStyle w:val="TableGrid"/>
        <w:tblW w:w="0" w:type="auto"/>
        <w:tblLook w:val="04A0" w:firstRow="1" w:lastRow="0" w:firstColumn="1" w:lastColumn="0" w:noHBand="0" w:noVBand="1"/>
      </w:tblPr>
      <w:tblGrid>
        <w:gridCol w:w="4266"/>
        <w:gridCol w:w="4267"/>
        <w:gridCol w:w="4267"/>
      </w:tblGrid>
      <w:tr w:rsidR="007B5415" w:rsidRPr="007B5415" w14:paraId="761C2D70" w14:textId="77777777" w:rsidTr="007B5415">
        <w:trPr>
          <w:trHeight w:val="409"/>
        </w:trPr>
        <w:tc>
          <w:tcPr>
            <w:tcW w:w="12800" w:type="dxa"/>
            <w:gridSpan w:val="3"/>
            <w:shd w:val="clear" w:color="auto" w:fill="D0CECE" w:themeFill="background2" w:themeFillShade="E6"/>
          </w:tcPr>
          <w:p w14:paraId="2790B929" w14:textId="79A69407" w:rsidR="007B5415" w:rsidRPr="007B5415" w:rsidRDefault="007B5415" w:rsidP="007B5415">
            <w:pPr>
              <w:jc w:val="center"/>
              <w:rPr>
                <w:b/>
              </w:rPr>
            </w:pPr>
            <w:r w:rsidRPr="007B5415">
              <w:rPr>
                <w:b/>
              </w:rPr>
              <w:t>Immediate (Next 0-3 Months)</w:t>
            </w:r>
          </w:p>
        </w:tc>
      </w:tr>
      <w:tr w:rsidR="007B5415" w14:paraId="0B71581F" w14:textId="77777777" w:rsidTr="005C6736">
        <w:trPr>
          <w:trHeight w:val="575"/>
        </w:trPr>
        <w:tc>
          <w:tcPr>
            <w:tcW w:w="4266" w:type="dxa"/>
          </w:tcPr>
          <w:p w14:paraId="32080FD5" w14:textId="0689D219" w:rsidR="007B5415" w:rsidRPr="007B5415" w:rsidRDefault="007B5415" w:rsidP="007B5415">
            <w:pPr>
              <w:jc w:val="center"/>
              <w:rPr>
                <w:u w:val="single"/>
              </w:rPr>
            </w:pPr>
            <w:r w:rsidRPr="007B5415">
              <w:rPr>
                <w:u w:val="single"/>
              </w:rPr>
              <w:t>Main Goals/Priorities</w:t>
            </w:r>
          </w:p>
        </w:tc>
        <w:tc>
          <w:tcPr>
            <w:tcW w:w="4267" w:type="dxa"/>
          </w:tcPr>
          <w:p w14:paraId="1EE4E563" w14:textId="26A4770C" w:rsidR="007B5415" w:rsidRPr="007B5415" w:rsidRDefault="007B5415" w:rsidP="007B5415">
            <w:pPr>
              <w:jc w:val="center"/>
              <w:rPr>
                <w:u w:val="single"/>
              </w:rPr>
            </w:pPr>
            <w:r w:rsidRPr="007B5415">
              <w:rPr>
                <w:u w:val="single"/>
              </w:rPr>
              <w:t>Action Steps</w:t>
            </w:r>
          </w:p>
          <w:p w14:paraId="7A5438D0" w14:textId="4E40CA7A" w:rsidR="007B5415" w:rsidRDefault="007B5415" w:rsidP="007B5415">
            <w:pPr>
              <w:jc w:val="center"/>
            </w:pPr>
            <w:r>
              <w:t>(Planned)</w:t>
            </w:r>
          </w:p>
        </w:tc>
        <w:tc>
          <w:tcPr>
            <w:tcW w:w="4267" w:type="dxa"/>
          </w:tcPr>
          <w:p w14:paraId="4D0494DF" w14:textId="0E77E134" w:rsidR="007B5415" w:rsidRPr="007B5415" w:rsidRDefault="007B5415" w:rsidP="007B5415">
            <w:pPr>
              <w:jc w:val="center"/>
              <w:rPr>
                <w:u w:val="single"/>
              </w:rPr>
            </w:pPr>
            <w:r w:rsidRPr="007B5415">
              <w:rPr>
                <w:u w:val="single"/>
              </w:rPr>
              <w:t>Potential Concerns</w:t>
            </w:r>
          </w:p>
          <w:p w14:paraId="0C148CFC" w14:textId="374404EB" w:rsidR="007B5415" w:rsidRDefault="007B5415" w:rsidP="007B5415">
            <w:pPr>
              <w:jc w:val="center"/>
            </w:pPr>
            <w:r>
              <w:t>(Related to goals and/or action steps)</w:t>
            </w:r>
          </w:p>
        </w:tc>
      </w:tr>
      <w:tr w:rsidR="007B5415" w14:paraId="46B9B5B0" w14:textId="77777777" w:rsidTr="007B5415">
        <w:trPr>
          <w:trHeight w:val="409"/>
        </w:trPr>
        <w:tc>
          <w:tcPr>
            <w:tcW w:w="4266" w:type="dxa"/>
          </w:tcPr>
          <w:p w14:paraId="36BF6917" w14:textId="77777777" w:rsidR="007B5415" w:rsidRDefault="007B5415" w:rsidP="005C6736">
            <w:pPr>
              <w:pStyle w:val="ListParagraph"/>
              <w:numPr>
                <w:ilvl w:val="0"/>
                <w:numId w:val="32"/>
              </w:numPr>
            </w:pPr>
          </w:p>
          <w:p w14:paraId="164E560F" w14:textId="77777777" w:rsidR="007B5415" w:rsidRDefault="007B5415" w:rsidP="007B5415">
            <w:pPr>
              <w:pStyle w:val="ListParagraph"/>
            </w:pPr>
          </w:p>
        </w:tc>
        <w:tc>
          <w:tcPr>
            <w:tcW w:w="4267" w:type="dxa"/>
          </w:tcPr>
          <w:p w14:paraId="56484B26" w14:textId="77777777" w:rsidR="007B5415" w:rsidRDefault="007B5415" w:rsidP="007B5415">
            <w:pPr>
              <w:pStyle w:val="ListParagraph"/>
              <w:numPr>
                <w:ilvl w:val="0"/>
                <w:numId w:val="31"/>
              </w:numPr>
            </w:pPr>
          </w:p>
        </w:tc>
        <w:tc>
          <w:tcPr>
            <w:tcW w:w="4267" w:type="dxa"/>
          </w:tcPr>
          <w:p w14:paraId="2E77D882" w14:textId="77777777" w:rsidR="007B5415" w:rsidRDefault="007B5415" w:rsidP="007B5415">
            <w:pPr>
              <w:pStyle w:val="ListParagraph"/>
              <w:numPr>
                <w:ilvl w:val="0"/>
                <w:numId w:val="31"/>
              </w:numPr>
            </w:pPr>
          </w:p>
        </w:tc>
      </w:tr>
      <w:tr w:rsidR="007B5415" w14:paraId="4E201573" w14:textId="77777777" w:rsidTr="007B5415">
        <w:trPr>
          <w:trHeight w:val="409"/>
        </w:trPr>
        <w:tc>
          <w:tcPr>
            <w:tcW w:w="4266" w:type="dxa"/>
          </w:tcPr>
          <w:p w14:paraId="7DDD0AEE" w14:textId="2391E54B" w:rsidR="007B5415" w:rsidRDefault="007B5415" w:rsidP="007B5415">
            <w:pPr>
              <w:pStyle w:val="ListParagraph"/>
              <w:numPr>
                <w:ilvl w:val="0"/>
                <w:numId w:val="32"/>
              </w:numPr>
            </w:pPr>
          </w:p>
          <w:p w14:paraId="5D7BFF32" w14:textId="77777777" w:rsidR="007B5415" w:rsidRDefault="007B5415" w:rsidP="005C6736"/>
        </w:tc>
        <w:tc>
          <w:tcPr>
            <w:tcW w:w="4267" w:type="dxa"/>
          </w:tcPr>
          <w:p w14:paraId="78FA0E55" w14:textId="77777777" w:rsidR="007B5415" w:rsidRDefault="007B5415" w:rsidP="007B5415">
            <w:pPr>
              <w:pStyle w:val="ListParagraph"/>
              <w:numPr>
                <w:ilvl w:val="0"/>
                <w:numId w:val="31"/>
              </w:numPr>
            </w:pPr>
          </w:p>
        </w:tc>
        <w:tc>
          <w:tcPr>
            <w:tcW w:w="4267" w:type="dxa"/>
          </w:tcPr>
          <w:p w14:paraId="2C04C5AC" w14:textId="77777777" w:rsidR="007B5415" w:rsidRDefault="007B5415" w:rsidP="007B5415">
            <w:pPr>
              <w:pStyle w:val="ListParagraph"/>
              <w:numPr>
                <w:ilvl w:val="0"/>
                <w:numId w:val="31"/>
              </w:numPr>
            </w:pPr>
          </w:p>
        </w:tc>
      </w:tr>
      <w:tr w:rsidR="007B5415" w14:paraId="569C0331" w14:textId="77777777" w:rsidTr="007B5415">
        <w:trPr>
          <w:trHeight w:val="409"/>
        </w:trPr>
        <w:tc>
          <w:tcPr>
            <w:tcW w:w="4266" w:type="dxa"/>
          </w:tcPr>
          <w:p w14:paraId="3FE3BEEF" w14:textId="77777777" w:rsidR="007B5415" w:rsidRDefault="007B5415" w:rsidP="007B5415">
            <w:pPr>
              <w:pStyle w:val="ListParagraph"/>
              <w:numPr>
                <w:ilvl w:val="0"/>
                <w:numId w:val="32"/>
              </w:numPr>
            </w:pPr>
          </w:p>
        </w:tc>
        <w:tc>
          <w:tcPr>
            <w:tcW w:w="4267" w:type="dxa"/>
          </w:tcPr>
          <w:p w14:paraId="1F20AEB8" w14:textId="77777777" w:rsidR="007B5415" w:rsidRDefault="007B5415" w:rsidP="007B5415">
            <w:pPr>
              <w:pStyle w:val="ListParagraph"/>
              <w:numPr>
                <w:ilvl w:val="0"/>
                <w:numId w:val="31"/>
              </w:numPr>
            </w:pPr>
          </w:p>
        </w:tc>
        <w:tc>
          <w:tcPr>
            <w:tcW w:w="4267" w:type="dxa"/>
          </w:tcPr>
          <w:p w14:paraId="43DB7ECB" w14:textId="77777777" w:rsidR="007B5415" w:rsidRDefault="007B5415" w:rsidP="007B5415">
            <w:pPr>
              <w:pStyle w:val="ListParagraph"/>
              <w:numPr>
                <w:ilvl w:val="0"/>
                <w:numId w:val="31"/>
              </w:numPr>
            </w:pPr>
          </w:p>
        </w:tc>
      </w:tr>
      <w:tr w:rsidR="007B5415" w:rsidRPr="007B5415" w14:paraId="75F5A014" w14:textId="77777777" w:rsidTr="007B5415">
        <w:trPr>
          <w:trHeight w:val="409"/>
        </w:trPr>
        <w:tc>
          <w:tcPr>
            <w:tcW w:w="12800" w:type="dxa"/>
            <w:gridSpan w:val="3"/>
            <w:shd w:val="clear" w:color="auto" w:fill="D0CECE" w:themeFill="background2" w:themeFillShade="E6"/>
          </w:tcPr>
          <w:p w14:paraId="0E0521FD" w14:textId="4D50AE83" w:rsidR="007B5415" w:rsidRPr="007B5415" w:rsidRDefault="007B5415" w:rsidP="007B5415">
            <w:pPr>
              <w:jc w:val="center"/>
              <w:rPr>
                <w:b/>
              </w:rPr>
            </w:pPr>
            <w:r>
              <w:rPr>
                <w:b/>
              </w:rPr>
              <w:t>Intermediate</w:t>
            </w:r>
            <w:r w:rsidRPr="007B5415">
              <w:rPr>
                <w:b/>
              </w:rPr>
              <w:t xml:space="preserve"> (Next </w:t>
            </w:r>
            <w:r>
              <w:rPr>
                <w:b/>
              </w:rPr>
              <w:t>4</w:t>
            </w:r>
            <w:r w:rsidRPr="007B5415">
              <w:rPr>
                <w:b/>
              </w:rPr>
              <w:t>-</w:t>
            </w:r>
            <w:r>
              <w:rPr>
                <w:b/>
              </w:rPr>
              <w:t>9</w:t>
            </w:r>
            <w:r w:rsidRPr="007B5415">
              <w:rPr>
                <w:b/>
              </w:rPr>
              <w:t xml:space="preserve"> Months)</w:t>
            </w:r>
          </w:p>
        </w:tc>
      </w:tr>
      <w:tr w:rsidR="007B5415" w14:paraId="72659697" w14:textId="77777777" w:rsidTr="005C6736">
        <w:trPr>
          <w:trHeight w:val="575"/>
        </w:trPr>
        <w:tc>
          <w:tcPr>
            <w:tcW w:w="4266" w:type="dxa"/>
          </w:tcPr>
          <w:p w14:paraId="6B0B0FCE" w14:textId="77777777" w:rsidR="007B5415" w:rsidRPr="007B5415" w:rsidRDefault="007B5415" w:rsidP="007B5415">
            <w:pPr>
              <w:jc w:val="center"/>
              <w:rPr>
                <w:u w:val="single"/>
              </w:rPr>
            </w:pPr>
            <w:r w:rsidRPr="007B5415">
              <w:rPr>
                <w:u w:val="single"/>
              </w:rPr>
              <w:t>Main Goals/Priorities</w:t>
            </w:r>
          </w:p>
        </w:tc>
        <w:tc>
          <w:tcPr>
            <w:tcW w:w="4267" w:type="dxa"/>
          </w:tcPr>
          <w:p w14:paraId="226A4B72" w14:textId="77777777" w:rsidR="007B5415" w:rsidRPr="007B5415" w:rsidRDefault="007B5415" w:rsidP="007B5415">
            <w:pPr>
              <w:jc w:val="center"/>
              <w:rPr>
                <w:u w:val="single"/>
              </w:rPr>
            </w:pPr>
            <w:r w:rsidRPr="007B5415">
              <w:rPr>
                <w:u w:val="single"/>
              </w:rPr>
              <w:t>Action Steps</w:t>
            </w:r>
          </w:p>
          <w:p w14:paraId="62DD26C2" w14:textId="77777777" w:rsidR="007B5415" w:rsidRDefault="007B5415" w:rsidP="007B5415">
            <w:pPr>
              <w:jc w:val="center"/>
            </w:pPr>
            <w:r>
              <w:t>(Planned)</w:t>
            </w:r>
          </w:p>
        </w:tc>
        <w:tc>
          <w:tcPr>
            <w:tcW w:w="4267" w:type="dxa"/>
          </w:tcPr>
          <w:p w14:paraId="5924D237" w14:textId="77777777" w:rsidR="007B5415" w:rsidRPr="007B5415" w:rsidRDefault="007B5415" w:rsidP="007B5415">
            <w:pPr>
              <w:jc w:val="center"/>
              <w:rPr>
                <w:u w:val="single"/>
              </w:rPr>
            </w:pPr>
            <w:r w:rsidRPr="007B5415">
              <w:rPr>
                <w:u w:val="single"/>
              </w:rPr>
              <w:t>Potential Concerns</w:t>
            </w:r>
          </w:p>
          <w:p w14:paraId="74A17DD7" w14:textId="77777777" w:rsidR="007B5415" w:rsidRDefault="007B5415" w:rsidP="007B5415">
            <w:pPr>
              <w:jc w:val="center"/>
            </w:pPr>
            <w:r>
              <w:t>(Related to goals and/or action steps)</w:t>
            </w:r>
          </w:p>
        </w:tc>
      </w:tr>
      <w:tr w:rsidR="007B5415" w14:paraId="4F714E06" w14:textId="77777777" w:rsidTr="007B5415">
        <w:trPr>
          <w:trHeight w:val="409"/>
        </w:trPr>
        <w:tc>
          <w:tcPr>
            <w:tcW w:w="4266" w:type="dxa"/>
          </w:tcPr>
          <w:p w14:paraId="3E4F17DD" w14:textId="77777777" w:rsidR="007B5415" w:rsidRDefault="007B5415" w:rsidP="005C6736">
            <w:pPr>
              <w:pStyle w:val="ListParagraph"/>
              <w:numPr>
                <w:ilvl w:val="0"/>
                <w:numId w:val="33"/>
              </w:numPr>
            </w:pPr>
          </w:p>
          <w:p w14:paraId="48AE2D05" w14:textId="77777777" w:rsidR="007B5415" w:rsidRDefault="007B5415" w:rsidP="005C6736"/>
        </w:tc>
        <w:tc>
          <w:tcPr>
            <w:tcW w:w="4267" w:type="dxa"/>
          </w:tcPr>
          <w:p w14:paraId="5D01E577" w14:textId="77777777" w:rsidR="007B5415" w:rsidRDefault="007B5415" w:rsidP="007B5415">
            <w:pPr>
              <w:pStyle w:val="ListParagraph"/>
              <w:numPr>
                <w:ilvl w:val="0"/>
                <w:numId w:val="31"/>
              </w:numPr>
            </w:pPr>
          </w:p>
        </w:tc>
        <w:tc>
          <w:tcPr>
            <w:tcW w:w="4267" w:type="dxa"/>
          </w:tcPr>
          <w:p w14:paraId="2CCCFF77" w14:textId="77777777" w:rsidR="007B5415" w:rsidRDefault="007B5415" w:rsidP="007B5415">
            <w:pPr>
              <w:pStyle w:val="ListParagraph"/>
              <w:numPr>
                <w:ilvl w:val="0"/>
                <w:numId w:val="31"/>
              </w:numPr>
            </w:pPr>
          </w:p>
        </w:tc>
      </w:tr>
      <w:tr w:rsidR="007B5415" w14:paraId="058C23AB" w14:textId="77777777" w:rsidTr="007B5415">
        <w:trPr>
          <w:trHeight w:val="409"/>
        </w:trPr>
        <w:tc>
          <w:tcPr>
            <w:tcW w:w="4266" w:type="dxa"/>
          </w:tcPr>
          <w:p w14:paraId="48CB1532" w14:textId="77777777" w:rsidR="007B5415" w:rsidRDefault="007B5415" w:rsidP="005C6736">
            <w:pPr>
              <w:pStyle w:val="ListParagraph"/>
              <w:numPr>
                <w:ilvl w:val="0"/>
                <w:numId w:val="33"/>
              </w:numPr>
            </w:pPr>
          </w:p>
          <w:p w14:paraId="363EFB01" w14:textId="77777777" w:rsidR="007B5415" w:rsidRDefault="007B5415" w:rsidP="005C6736"/>
        </w:tc>
        <w:tc>
          <w:tcPr>
            <w:tcW w:w="4267" w:type="dxa"/>
          </w:tcPr>
          <w:p w14:paraId="29301F78" w14:textId="77777777" w:rsidR="007B5415" w:rsidRDefault="007B5415" w:rsidP="007B5415">
            <w:pPr>
              <w:pStyle w:val="ListParagraph"/>
              <w:numPr>
                <w:ilvl w:val="0"/>
                <w:numId w:val="31"/>
              </w:numPr>
            </w:pPr>
          </w:p>
        </w:tc>
        <w:tc>
          <w:tcPr>
            <w:tcW w:w="4267" w:type="dxa"/>
          </w:tcPr>
          <w:p w14:paraId="36340AB9" w14:textId="77777777" w:rsidR="007B5415" w:rsidRDefault="007B5415" w:rsidP="007B5415">
            <w:pPr>
              <w:pStyle w:val="ListParagraph"/>
              <w:numPr>
                <w:ilvl w:val="0"/>
                <w:numId w:val="31"/>
              </w:numPr>
            </w:pPr>
          </w:p>
        </w:tc>
      </w:tr>
      <w:tr w:rsidR="007B5415" w14:paraId="395822C9" w14:textId="77777777" w:rsidTr="007B5415">
        <w:trPr>
          <w:trHeight w:val="409"/>
        </w:trPr>
        <w:tc>
          <w:tcPr>
            <w:tcW w:w="4266" w:type="dxa"/>
          </w:tcPr>
          <w:p w14:paraId="4716F5DE" w14:textId="77777777" w:rsidR="007B5415" w:rsidRDefault="007B5415" w:rsidP="005C6736">
            <w:pPr>
              <w:pStyle w:val="ListParagraph"/>
              <w:numPr>
                <w:ilvl w:val="0"/>
                <w:numId w:val="33"/>
              </w:numPr>
            </w:pPr>
          </w:p>
        </w:tc>
        <w:tc>
          <w:tcPr>
            <w:tcW w:w="4267" w:type="dxa"/>
          </w:tcPr>
          <w:p w14:paraId="56E323C2" w14:textId="77777777" w:rsidR="007B5415" w:rsidRDefault="007B5415" w:rsidP="007B5415">
            <w:pPr>
              <w:pStyle w:val="ListParagraph"/>
              <w:numPr>
                <w:ilvl w:val="0"/>
                <w:numId w:val="31"/>
              </w:numPr>
            </w:pPr>
          </w:p>
        </w:tc>
        <w:tc>
          <w:tcPr>
            <w:tcW w:w="4267" w:type="dxa"/>
          </w:tcPr>
          <w:p w14:paraId="62DFA8B5" w14:textId="77777777" w:rsidR="007B5415" w:rsidRDefault="007B5415" w:rsidP="007B5415">
            <w:pPr>
              <w:pStyle w:val="ListParagraph"/>
              <w:numPr>
                <w:ilvl w:val="0"/>
                <w:numId w:val="31"/>
              </w:numPr>
            </w:pPr>
          </w:p>
        </w:tc>
      </w:tr>
      <w:tr w:rsidR="007B5415" w:rsidRPr="007B5415" w14:paraId="031BAFBD" w14:textId="77777777" w:rsidTr="007B5415">
        <w:trPr>
          <w:trHeight w:val="409"/>
        </w:trPr>
        <w:tc>
          <w:tcPr>
            <w:tcW w:w="12800" w:type="dxa"/>
            <w:gridSpan w:val="3"/>
            <w:shd w:val="clear" w:color="auto" w:fill="D0CECE" w:themeFill="background2" w:themeFillShade="E6"/>
          </w:tcPr>
          <w:p w14:paraId="3716DCA6" w14:textId="7A6D1F7A" w:rsidR="007B5415" w:rsidRPr="007B5415" w:rsidRDefault="007B5415" w:rsidP="007B5415">
            <w:pPr>
              <w:jc w:val="center"/>
              <w:rPr>
                <w:b/>
              </w:rPr>
            </w:pPr>
            <w:r>
              <w:rPr>
                <w:b/>
              </w:rPr>
              <w:t>Long-term</w:t>
            </w:r>
            <w:r w:rsidRPr="007B5415">
              <w:rPr>
                <w:b/>
              </w:rPr>
              <w:t xml:space="preserve"> (Next </w:t>
            </w:r>
            <w:r>
              <w:rPr>
                <w:b/>
              </w:rPr>
              <w:t>10-18</w:t>
            </w:r>
            <w:r w:rsidRPr="007B5415">
              <w:rPr>
                <w:b/>
              </w:rPr>
              <w:t xml:space="preserve"> Months)</w:t>
            </w:r>
          </w:p>
        </w:tc>
      </w:tr>
      <w:tr w:rsidR="007B5415" w14:paraId="40140C2D" w14:textId="77777777" w:rsidTr="005C6736">
        <w:trPr>
          <w:trHeight w:val="620"/>
        </w:trPr>
        <w:tc>
          <w:tcPr>
            <w:tcW w:w="4266" w:type="dxa"/>
          </w:tcPr>
          <w:p w14:paraId="58319A8F" w14:textId="77777777" w:rsidR="007B5415" w:rsidRPr="007B5415" w:rsidRDefault="007B5415" w:rsidP="007B5415">
            <w:pPr>
              <w:jc w:val="center"/>
              <w:rPr>
                <w:u w:val="single"/>
              </w:rPr>
            </w:pPr>
            <w:r w:rsidRPr="007B5415">
              <w:rPr>
                <w:u w:val="single"/>
              </w:rPr>
              <w:t>Main Goals/Priorities</w:t>
            </w:r>
          </w:p>
        </w:tc>
        <w:tc>
          <w:tcPr>
            <w:tcW w:w="4267" w:type="dxa"/>
          </w:tcPr>
          <w:p w14:paraId="020342F0" w14:textId="77777777" w:rsidR="007B5415" w:rsidRPr="007B5415" w:rsidRDefault="007B5415" w:rsidP="007B5415">
            <w:pPr>
              <w:jc w:val="center"/>
              <w:rPr>
                <w:u w:val="single"/>
              </w:rPr>
            </w:pPr>
            <w:r w:rsidRPr="007B5415">
              <w:rPr>
                <w:u w:val="single"/>
              </w:rPr>
              <w:t>Action Steps</w:t>
            </w:r>
          </w:p>
          <w:p w14:paraId="522B9347" w14:textId="77777777" w:rsidR="007B5415" w:rsidRDefault="007B5415" w:rsidP="007B5415">
            <w:pPr>
              <w:jc w:val="center"/>
            </w:pPr>
            <w:r>
              <w:t>(Planned)</w:t>
            </w:r>
          </w:p>
        </w:tc>
        <w:tc>
          <w:tcPr>
            <w:tcW w:w="4267" w:type="dxa"/>
          </w:tcPr>
          <w:p w14:paraId="6CBDFD6F" w14:textId="77777777" w:rsidR="007B5415" w:rsidRPr="007B5415" w:rsidRDefault="007B5415" w:rsidP="007B5415">
            <w:pPr>
              <w:jc w:val="center"/>
              <w:rPr>
                <w:u w:val="single"/>
              </w:rPr>
            </w:pPr>
            <w:r w:rsidRPr="007B5415">
              <w:rPr>
                <w:u w:val="single"/>
              </w:rPr>
              <w:t>Potential Concerns</w:t>
            </w:r>
          </w:p>
          <w:p w14:paraId="4FB078B8" w14:textId="77777777" w:rsidR="007B5415" w:rsidRDefault="007B5415" w:rsidP="007B5415">
            <w:pPr>
              <w:jc w:val="center"/>
            </w:pPr>
            <w:r>
              <w:t>(Related to goals and/or action steps)</w:t>
            </w:r>
          </w:p>
        </w:tc>
      </w:tr>
      <w:tr w:rsidR="007B5415" w14:paraId="289BBCC8" w14:textId="77777777" w:rsidTr="007B5415">
        <w:trPr>
          <w:trHeight w:val="409"/>
        </w:trPr>
        <w:tc>
          <w:tcPr>
            <w:tcW w:w="4266" w:type="dxa"/>
          </w:tcPr>
          <w:p w14:paraId="5C23F250" w14:textId="77777777" w:rsidR="007B5415" w:rsidRDefault="007B5415" w:rsidP="005C6736">
            <w:pPr>
              <w:pStyle w:val="ListParagraph"/>
              <w:numPr>
                <w:ilvl w:val="0"/>
                <w:numId w:val="34"/>
              </w:numPr>
            </w:pPr>
          </w:p>
          <w:p w14:paraId="14465F4C" w14:textId="77777777" w:rsidR="007B5415" w:rsidRDefault="007B5415" w:rsidP="005C6736"/>
        </w:tc>
        <w:tc>
          <w:tcPr>
            <w:tcW w:w="4267" w:type="dxa"/>
          </w:tcPr>
          <w:p w14:paraId="6AC2AB77" w14:textId="77777777" w:rsidR="007B5415" w:rsidRDefault="007B5415" w:rsidP="007B5415">
            <w:pPr>
              <w:pStyle w:val="ListParagraph"/>
              <w:numPr>
                <w:ilvl w:val="0"/>
                <w:numId w:val="31"/>
              </w:numPr>
            </w:pPr>
          </w:p>
        </w:tc>
        <w:tc>
          <w:tcPr>
            <w:tcW w:w="4267" w:type="dxa"/>
          </w:tcPr>
          <w:p w14:paraId="4938F1A9" w14:textId="77777777" w:rsidR="007B5415" w:rsidRDefault="007B5415" w:rsidP="007B5415">
            <w:pPr>
              <w:pStyle w:val="ListParagraph"/>
              <w:numPr>
                <w:ilvl w:val="0"/>
                <w:numId w:val="31"/>
              </w:numPr>
            </w:pPr>
          </w:p>
        </w:tc>
      </w:tr>
      <w:tr w:rsidR="007B5415" w14:paraId="05D93774" w14:textId="77777777" w:rsidTr="007B5415">
        <w:trPr>
          <w:trHeight w:val="409"/>
        </w:trPr>
        <w:tc>
          <w:tcPr>
            <w:tcW w:w="4266" w:type="dxa"/>
          </w:tcPr>
          <w:p w14:paraId="74B62243" w14:textId="77777777" w:rsidR="007B5415" w:rsidRDefault="007B5415" w:rsidP="005C6736">
            <w:pPr>
              <w:pStyle w:val="ListParagraph"/>
              <w:numPr>
                <w:ilvl w:val="0"/>
                <w:numId w:val="34"/>
              </w:numPr>
            </w:pPr>
          </w:p>
          <w:p w14:paraId="0A4D65BF" w14:textId="77777777" w:rsidR="007B5415" w:rsidRDefault="007B5415" w:rsidP="007B5415">
            <w:pPr>
              <w:pStyle w:val="ListParagraph"/>
            </w:pPr>
          </w:p>
        </w:tc>
        <w:tc>
          <w:tcPr>
            <w:tcW w:w="4267" w:type="dxa"/>
          </w:tcPr>
          <w:p w14:paraId="5644F82C" w14:textId="77777777" w:rsidR="007B5415" w:rsidRDefault="007B5415" w:rsidP="007B5415">
            <w:pPr>
              <w:pStyle w:val="ListParagraph"/>
              <w:numPr>
                <w:ilvl w:val="0"/>
                <w:numId w:val="31"/>
              </w:numPr>
            </w:pPr>
          </w:p>
        </w:tc>
        <w:tc>
          <w:tcPr>
            <w:tcW w:w="4267" w:type="dxa"/>
          </w:tcPr>
          <w:p w14:paraId="2EF19B22" w14:textId="77777777" w:rsidR="007B5415" w:rsidRDefault="007B5415" w:rsidP="007B5415">
            <w:pPr>
              <w:pStyle w:val="ListParagraph"/>
              <w:numPr>
                <w:ilvl w:val="0"/>
                <w:numId w:val="31"/>
              </w:numPr>
            </w:pPr>
          </w:p>
        </w:tc>
      </w:tr>
      <w:tr w:rsidR="007B5415" w14:paraId="1E805C0C" w14:textId="77777777" w:rsidTr="007B5415">
        <w:trPr>
          <w:trHeight w:val="409"/>
        </w:trPr>
        <w:tc>
          <w:tcPr>
            <w:tcW w:w="4266" w:type="dxa"/>
          </w:tcPr>
          <w:p w14:paraId="79311748" w14:textId="77777777" w:rsidR="007B5415" w:rsidRDefault="007B5415" w:rsidP="005C6736">
            <w:pPr>
              <w:pStyle w:val="ListParagraph"/>
              <w:numPr>
                <w:ilvl w:val="0"/>
                <w:numId w:val="34"/>
              </w:numPr>
            </w:pPr>
          </w:p>
          <w:p w14:paraId="08FC0F47" w14:textId="77777777" w:rsidR="007B5415" w:rsidRDefault="007B5415" w:rsidP="007B5415"/>
        </w:tc>
        <w:tc>
          <w:tcPr>
            <w:tcW w:w="4267" w:type="dxa"/>
          </w:tcPr>
          <w:p w14:paraId="48E2C0AD" w14:textId="77777777" w:rsidR="007B5415" w:rsidRDefault="007B5415" w:rsidP="007B5415">
            <w:pPr>
              <w:pStyle w:val="ListParagraph"/>
              <w:numPr>
                <w:ilvl w:val="0"/>
                <w:numId w:val="31"/>
              </w:numPr>
            </w:pPr>
          </w:p>
        </w:tc>
        <w:tc>
          <w:tcPr>
            <w:tcW w:w="4267" w:type="dxa"/>
          </w:tcPr>
          <w:p w14:paraId="3E069B4B" w14:textId="77777777" w:rsidR="007B5415" w:rsidRDefault="007B5415" w:rsidP="007B5415">
            <w:pPr>
              <w:pStyle w:val="ListParagraph"/>
              <w:numPr>
                <w:ilvl w:val="0"/>
                <w:numId w:val="31"/>
              </w:numPr>
            </w:pPr>
          </w:p>
        </w:tc>
      </w:tr>
    </w:tbl>
    <w:p w14:paraId="32414641" w14:textId="77777777" w:rsidR="006120EE" w:rsidRPr="00263E96" w:rsidRDefault="006120EE" w:rsidP="00712030"/>
    <w:sectPr w:rsidR="006120EE" w:rsidRPr="00263E96" w:rsidSect="007B5415">
      <w:type w:val="continuous"/>
      <w:pgSz w:w="15840" w:h="12240" w:orient="landscape"/>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3B30D" w16cid:durableId="1E0F5817"/>
  <w16cid:commentId w16cid:paraId="524E7AF3" w16cid:durableId="1E0F5CA8"/>
  <w16cid:commentId w16cid:paraId="38DBF1E0" w16cid:durableId="1E0F581A"/>
  <w16cid:commentId w16cid:paraId="126CF442" w16cid:durableId="1E0F9597"/>
  <w16cid:commentId w16cid:paraId="0C055855" w16cid:durableId="1E0F5D85"/>
  <w16cid:commentId w16cid:paraId="64BE7EC9" w16cid:durableId="1E0F5EFD"/>
  <w16cid:commentId w16cid:paraId="5685DB52" w16cid:durableId="1E0F581B"/>
  <w16cid:commentId w16cid:paraId="43DF296E" w16cid:durableId="1E0F5FEB"/>
  <w16cid:commentId w16cid:paraId="04E32718" w16cid:durableId="1E0F581C"/>
  <w16cid:commentId w16cid:paraId="1E448A90" w16cid:durableId="1E0F581D"/>
  <w16cid:commentId w16cid:paraId="7902B052" w16cid:durableId="1E0F7F01"/>
  <w16cid:commentId w16cid:paraId="6695CEBC" w16cid:durableId="1E0F581E"/>
  <w16cid:commentId w16cid:paraId="0C032A81" w16cid:durableId="1E0F7FAA"/>
  <w16cid:commentId w16cid:paraId="48D5DA2D" w16cid:durableId="1E0F581F"/>
  <w16cid:commentId w16cid:paraId="60A6C97D" w16cid:durableId="1E0F5820"/>
  <w16cid:commentId w16cid:paraId="11B1D327" w16cid:durableId="1E0F8409"/>
  <w16cid:commentId w16cid:paraId="1365708D" w16cid:durableId="1E0F5821"/>
  <w16cid:commentId w16cid:paraId="616A54D9" w16cid:durableId="1E0F863A"/>
  <w16cid:commentId w16cid:paraId="118D8A33" w16cid:durableId="1E0F8A03"/>
  <w16cid:commentId w16cid:paraId="7407F69A" w16cid:durableId="1E0F8A9E"/>
  <w16cid:commentId w16cid:paraId="4821F85F" w16cid:durableId="1E0F5822"/>
  <w16cid:commentId w16cid:paraId="667ED042" w16cid:durableId="1E0F8735"/>
  <w16cid:commentId w16cid:paraId="45A51C08" w16cid:durableId="1E0F8BC8"/>
  <w16cid:commentId w16cid:paraId="47C2BBFB" w16cid:durableId="1E0F8BAC"/>
  <w16cid:commentId w16cid:paraId="66892874" w16cid:durableId="1E0F8D26"/>
  <w16cid:commentId w16cid:paraId="78F51626" w16cid:durableId="1E0F8D2D"/>
  <w16cid:commentId w16cid:paraId="5BC28359" w16cid:durableId="1E0F5826"/>
  <w16cid:commentId w16cid:paraId="1A5C1035" w16cid:durableId="1E0F5827"/>
  <w16cid:commentId w16cid:paraId="499D84D8" w16cid:durableId="1E0F8FF8"/>
  <w16cid:commentId w16cid:paraId="22907532" w16cid:durableId="1E0F9076"/>
  <w16cid:commentId w16cid:paraId="6DE053A0" w16cid:durableId="1E0F9129"/>
  <w16cid:commentId w16cid:paraId="6E261E85" w16cid:durableId="1E0F582A"/>
  <w16cid:commentId w16cid:paraId="05F7A986" w16cid:durableId="1E0F91DE"/>
  <w16cid:commentId w16cid:paraId="5BD2E744" w16cid:durableId="1E0F582C"/>
  <w16cid:commentId w16cid:paraId="0BB703FD" w16cid:durableId="1E0F582D"/>
  <w16cid:commentId w16cid:paraId="0032CE92" w16cid:durableId="1E0F93BE"/>
  <w16cid:commentId w16cid:paraId="3D1091DB" w16cid:durableId="1E0F95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0296B" w14:textId="77777777" w:rsidR="00934C08" w:rsidRDefault="00934C08" w:rsidP="001D7CC8">
      <w:r>
        <w:separator/>
      </w:r>
    </w:p>
  </w:endnote>
  <w:endnote w:type="continuationSeparator" w:id="0">
    <w:p w14:paraId="5DD2DE05" w14:textId="77777777" w:rsidR="00934C08" w:rsidRDefault="00934C08" w:rsidP="001D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DE6B3" w14:textId="77777777" w:rsidR="0050650A" w:rsidRDefault="0050650A" w:rsidP="002F2177">
    <w:pPr>
      <w:pStyle w:val="Footer"/>
    </w:pPr>
  </w:p>
  <w:p w14:paraId="68A85F6E" w14:textId="77777777" w:rsidR="0050650A" w:rsidRDefault="00506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6D06E" w14:textId="77777777" w:rsidR="00934C08" w:rsidRDefault="00934C08" w:rsidP="001D7CC8">
      <w:r>
        <w:separator/>
      </w:r>
    </w:p>
  </w:footnote>
  <w:footnote w:type="continuationSeparator" w:id="0">
    <w:p w14:paraId="6996B2C1" w14:textId="77777777" w:rsidR="00934C08" w:rsidRDefault="00934C08" w:rsidP="001D7CC8">
      <w:r>
        <w:continuationSeparator/>
      </w:r>
    </w:p>
  </w:footnote>
  <w:footnote w:id="1">
    <w:p w14:paraId="742D1EC6" w14:textId="77777777" w:rsidR="0050650A" w:rsidRDefault="0050650A">
      <w:pPr>
        <w:pStyle w:val="FootnoteText"/>
      </w:pPr>
      <w:r>
        <w:rPr>
          <w:rStyle w:val="FootnoteReference"/>
        </w:rPr>
        <w:footnoteRef/>
      </w:r>
      <w:r>
        <w:t xml:space="preserve"> </w:t>
      </w:r>
      <w:hyperlink r:id="rId1" w:history="1">
        <w:r w:rsidRPr="008E5818">
          <w:rPr>
            <w:rStyle w:val="Hyperlink"/>
          </w:rPr>
          <w:t>http://s3.amazonaws.com/PCRN/docs/perkins_iv.pdf</w:t>
        </w:r>
      </w:hyperlink>
      <w:r>
        <w:t xml:space="preserve"> </w:t>
      </w:r>
    </w:p>
  </w:footnote>
  <w:footnote w:id="2">
    <w:p w14:paraId="0A558594" w14:textId="443A7DAB" w:rsidR="0050650A" w:rsidRDefault="0050650A">
      <w:pPr>
        <w:pStyle w:val="FootnoteText"/>
      </w:pPr>
      <w:r>
        <w:rPr>
          <w:rStyle w:val="FootnoteReference"/>
        </w:rPr>
        <w:footnoteRef/>
      </w:r>
      <w:r>
        <w:t xml:space="preserve"> </w:t>
      </w:r>
      <w:hyperlink r:id="rId2" w:history="1">
        <w:r w:rsidRPr="00D928BF">
          <w:rPr>
            <w:rStyle w:val="Hyperlink"/>
          </w:rPr>
          <w:t>https://careertech.org/resource/mapping-career-readiness-essa-full</w:t>
        </w:r>
      </w:hyperlink>
      <w:r>
        <w:t xml:space="preserve"> </w:t>
      </w:r>
    </w:p>
  </w:footnote>
  <w:footnote w:id="3">
    <w:p w14:paraId="5A2F5502" w14:textId="551BFD55" w:rsidR="0050650A" w:rsidRDefault="0050650A">
      <w:pPr>
        <w:pStyle w:val="FootnoteText"/>
      </w:pPr>
      <w:r>
        <w:rPr>
          <w:rStyle w:val="FootnoteReference"/>
        </w:rPr>
        <w:footnoteRef/>
      </w:r>
      <w:r>
        <w:t xml:space="preserve"> </w:t>
      </w:r>
      <w:hyperlink r:id="rId3" w:history="1">
        <w:r w:rsidRPr="00D928BF">
          <w:rPr>
            <w:rStyle w:val="Hyperlink"/>
          </w:rPr>
          <w:t>https://ies.ed.gov/ncee/wwc/Docs/InterventionReports/wwc_dual_enrollment_022817.pdf</w:t>
        </w:r>
      </w:hyperlink>
      <w:r>
        <w:t xml:space="preserve"> </w:t>
      </w:r>
    </w:p>
  </w:footnote>
  <w:footnote w:id="4">
    <w:p w14:paraId="7BF30BFA" w14:textId="5B0AE4EE" w:rsidR="0050650A" w:rsidRDefault="0050650A">
      <w:pPr>
        <w:pStyle w:val="FootnoteText"/>
      </w:pPr>
      <w:r>
        <w:rPr>
          <w:rStyle w:val="FootnoteReference"/>
        </w:rPr>
        <w:footnoteRef/>
      </w:r>
      <w:r>
        <w:t xml:space="preserve"> </w:t>
      </w:r>
      <w:hyperlink r:id="rId4" w:history="1">
        <w:r w:rsidRPr="005D2F33">
          <w:rPr>
            <w:rStyle w:val="Hyperlink"/>
          </w:rPr>
          <w:t>https://careertech.org/resources/state-cte-standards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sz w:val="18"/>
      </w:rPr>
      <w:id w:val="-207722222"/>
      <w:docPartObj>
        <w:docPartGallery w:val="Page Numbers (Top of Page)"/>
        <w:docPartUnique/>
      </w:docPartObj>
    </w:sdtPr>
    <w:sdtEndPr>
      <w:rPr>
        <w:b/>
        <w:bCs/>
        <w:noProof/>
        <w:color w:val="auto"/>
        <w:spacing w:val="0"/>
      </w:rPr>
    </w:sdtEndPr>
    <w:sdtContent>
      <w:p w14:paraId="127448B6" w14:textId="0BEEC0CD" w:rsidR="0050650A" w:rsidRPr="005F3671" w:rsidRDefault="0050650A" w:rsidP="005F3671">
        <w:pPr>
          <w:pStyle w:val="Header"/>
          <w:pBdr>
            <w:bottom w:val="single" w:sz="4" w:space="1" w:color="D9D9D9" w:themeColor="background1" w:themeShade="D9"/>
          </w:pBdr>
          <w:rPr>
            <w:b/>
            <w:bCs/>
            <w:sz w:val="18"/>
          </w:rPr>
        </w:pPr>
        <w:r w:rsidRPr="005F3671">
          <w:rPr>
            <w:color w:val="7F7F7F" w:themeColor="background1" w:themeShade="7F"/>
            <w:spacing w:val="60"/>
            <w:sz w:val="18"/>
          </w:rPr>
          <w:t>New State Director Leadership Program-Module 2: Programs of Study</w:t>
        </w:r>
        <w:r w:rsidRPr="005F3671">
          <w:rPr>
            <w:sz w:val="18"/>
          </w:rPr>
          <w:t xml:space="preserve"> | </w:t>
        </w:r>
        <w:r>
          <w:fldChar w:fldCharType="begin"/>
        </w:r>
        <w:r>
          <w:instrText xml:space="preserve"> PAGE   \* MERGEFORMAT </w:instrText>
        </w:r>
        <w:r>
          <w:fldChar w:fldCharType="separate"/>
        </w:r>
        <w:r w:rsidR="0023188D" w:rsidRPr="0023188D">
          <w:rPr>
            <w:b/>
            <w:bCs/>
            <w:noProof/>
            <w:sz w:val="18"/>
          </w:rPr>
          <w:t>31</w:t>
        </w:r>
        <w:r>
          <w:rPr>
            <w:b/>
            <w:bCs/>
            <w:noProof/>
            <w:sz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D2E"/>
    <w:multiLevelType w:val="hybridMultilevel"/>
    <w:tmpl w:val="3E14F7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F77594"/>
    <w:multiLevelType w:val="hybridMultilevel"/>
    <w:tmpl w:val="F5043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2822"/>
    <w:multiLevelType w:val="hybridMultilevel"/>
    <w:tmpl w:val="B71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B595C"/>
    <w:multiLevelType w:val="hybridMultilevel"/>
    <w:tmpl w:val="F0F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6C6E"/>
    <w:multiLevelType w:val="hybridMultilevel"/>
    <w:tmpl w:val="18DA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854F6"/>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66443"/>
    <w:multiLevelType w:val="hybridMultilevel"/>
    <w:tmpl w:val="783E68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1095265"/>
    <w:multiLevelType w:val="hybridMultilevel"/>
    <w:tmpl w:val="626C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B017D"/>
    <w:multiLevelType w:val="hybridMultilevel"/>
    <w:tmpl w:val="44EEB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214CCF"/>
    <w:multiLevelType w:val="hybridMultilevel"/>
    <w:tmpl w:val="DA5EE1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4B426AB"/>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42A55"/>
    <w:multiLevelType w:val="hybridMultilevel"/>
    <w:tmpl w:val="7F72D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70592B"/>
    <w:multiLevelType w:val="hybridMultilevel"/>
    <w:tmpl w:val="2232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04DF7"/>
    <w:multiLevelType w:val="hybridMultilevel"/>
    <w:tmpl w:val="7A766D8E"/>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C33AE"/>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D57EB"/>
    <w:multiLevelType w:val="hybridMultilevel"/>
    <w:tmpl w:val="197E691C"/>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C0519"/>
    <w:multiLevelType w:val="hybridMultilevel"/>
    <w:tmpl w:val="71DA3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CC1743"/>
    <w:multiLevelType w:val="hybridMultilevel"/>
    <w:tmpl w:val="455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B1290"/>
    <w:multiLevelType w:val="hybridMultilevel"/>
    <w:tmpl w:val="A7C00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D707B9"/>
    <w:multiLevelType w:val="hybridMultilevel"/>
    <w:tmpl w:val="D04E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2E67A8"/>
    <w:multiLevelType w:val="hybridMultilevel"/>
    <w:tmpl w:val="3D3C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D1423D"/>
    <w:multiLevelType w:val="hybridMultilevel"/>
    <w:tmpl w:val="CEEE1C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2FA6B56"/>
    <w:multiLevelType w:val="hybridMultilevel"/>
    <w:tmpl w:val="18C4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31719"/>
    <w:multiLevelType w:val="hybridMultilevel"/>
    <w:tmpl w:val="A628C71A"/>
    <w:lvl w:ilvl="0" w:tplc="C340E4FA">
      <w:start w:val="2018"/>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645B2"/>
    <w:multiLevelType w:val="hybridMultilevel"/>
    <w:tmpl w:val="6614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51792E"/>
    <w:multiLevelType w:val="hybridMultilevel"/>
    <w:tmpl w:val="412EEEF0"/>
    <w:lvl w:ilvl="0" w:tplc="F8347568">
      <w:start w:val="1"/>
      <w:numFmt w:val="upperRoman"/>
      <w:pStyle w:val="Style1"/>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0E2621"/>
    <w:multiLevelType w:val="hybridMultilevel"/>
    <w:tmpl w:val="FFB43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95861"/>
    <w:multiLevelType w:val="hybridMultilevel"/>
    <w:tmpl w:val="94D2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D10DB8"/>
    <w:multiLevelType w:val="hybridMultilevel"/>
    <w:tmpl w:val="AFAE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8B3ADB"/>
    <w:multiLevelType w:val="hybridMultilevel"/>
    <w:tmpl w:val="5CD832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DA7439"/>
    <w:multiLevelType w:val="hybridMultilevel"/>
    <w:tmpl w:val="E3FE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847746"/>
    <w:multiLevelType w:val="hybridMultilevel"/>
    <w:tmpl w:val="358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A3572"/>
    <w:multiLevelType w:val="hybridMultilevel"/>
    <w:tmpl w:val="4F76B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B10153"/>
    <w:multiLevelType w:val="hybridMultilevel"/>
    <w:tmpl w:val="07C2E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
  </w:num>
  <w:num w:numId="3">
    <w:abstractNumId w:val="20"/>
  </w:num>
  <w:num w:numId="4">
    <w:abstractNumId w:val="25"/>
  </w:num>
  <w:num w:numId="5">
    <w:abstractNumId w:val="19"/>
  </w:num>
  <w:num w:numId="6">
    <w:abstractNumId w:val="18"/>
  </w:num>
  <w:num w:numId="7">
    <w:abstractNumId w:val="26"/>
  </w:num>
  <w:num w:numId="8">
    <w:abstractNumId w:val="11"/>
  </w:num>
  <w:num w:numId="9">
    <w:abstractNumId w:val="24"/>
  </w:num>
  <w:num w:numId="10">
    <w:abstractNumId w:val="30"/>
  </w:num>
  <w:num w:numId="11">
    <w:abstractNumId w:val="29"/>
  </w:num>
  <w:num w:numId="12">
    <w:abstractNumId w:val="15"/>
  </w:num>
  <w:num w:numId="13">
    <w:abstractNumId w:val="13"/>
  </w:num>
  <w:num w:numId="14">
    <w:abstractNumId w:val="28"/>
  </w:num>
  <w:num w:numId="15">
    <w:abstractNumId w:val="33"/>
  </w:num>
  <w:num w:numId="16">
    <w:abstractNumId w:val="4"/>
  </w:num>
  <w:num w:numId="17">
    <w:abstractNumId w:val="0"/>
  </w:num>
  <w:num w:numId="18">
    <w:abstractNumId w:val="2"/>
  </w:num>
  <w:num w:numId="19">
    <w:abstractNumId w:val="17"/>
  </w:num>
  <w:num w:numId="20">
    <w:abstractNumId w:val="6"/>
  </w:num>
  <w:num w:numId="21">
    <w:abstractNumId w:val="21"/>
  </w:num>
  <w:num w:numId="22">
    <w:abstractNumId w:val="9"/>
  </w:num>
  <w:num w:numId="23">
    <w:abstractNumId w:val="31"/>
  </w:num>
  <w:num w:numId="24">
    <w:abstractNumId w:val="22"/>
  </w:num>
  <w:num w:numId="25">
    <w:abstractNumId w:val="27"/>
  </w:num>
  <w:num w:numId="26">
    <w:abstractNumId w:val="8"/>
  </w:num>
  <w:num w:numId="27">
    <w:abstractNumId w:val="23"/>
  </w:num>
  <w:num w:numId="28">
    <w:abstractNumId w:val="12"/>
  </w:num>
  <w:num w:numId="29">
    <w:abstractNumId w:val="3"/>
  </w:num>
  <w:num w:numId="30">
    <w:abstractNumId w:val="32"/>
  </w:num>
  <w:num w:numId="31">
    <w:abstractNumId w:val="7"/>
  </w:num>
  <w:num w:numId="32">
    <w:abstractNumId w:val="14"/>
  </w:num>
  <w:num w:numId="33">
    <w:abstractNumId w:val="5"/>
  </w:num>
  <w:num w:numId="3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C8"/>
    <w:rsid w:val="00004590"/>
    <w:rsid w:val="00006811"/>
    <w:rsid w:val="0001432D"/>
    <w:rsid w:val="00020640"/>
    <w:rsid w:val="00021DAB"/>
    <w:rsid w:val="00022A73"/>
    <w:rsid w:val="00025E59"/>
    <w:rsid w:val="00027675"/>
    <w:rsid w:val="00031725"/>
    <w:rsid w:val="00040042"/>
    <w:rsid w:val="00042E84"/>
    <w:rsid w:val="00072859"/>
    <w:rsid w:val="00074A3B"/>
    <w:rsid w:val="000814A1"/>
    <w:rsid w:val="00084B3A"/>
    <w:rsid w:val="00090573"/>
    <w:rsid w:val="000951DE"/>
    <w:rsid w:val="00095342"/>
    <w:rsid w:val="0009653B"/>
    <w:rsid w:val="000A121D"/>
    <w:rsid w:val="000C3D6D"/>
    <w:rsid w:val="000C763C"/>
    <w:rsid w:val="000E5738"/>
    <w:rsid w:val="000F0DDD"/>
    <w:rsid w:val="000F4D4D"/>
    <w:rsid w:val="000F627F"/>
    <w:rsid w:val="00126BC9"/>
    <w:rsid w:val="001420E0"/>
    <w:rsid w:val="00193725"/>
    <w:rsid w:val="001A4AE9"/>
    <w:rsid w:val="001B4BDE"/>
    <w:rsid w:val="001C1E4C"/>
    <w:rsid w:val="001C3F28"/>
    <w:rsid w:val="001C5168"/>
    <w:rsid w:val="001D5C79"/>
    <w:rsid w:val="001D7CC8"/>
    <w:rsid w:val="001E7D97"/>
    <w:rsid w:val="00202D82"/>
    <w:rsid w:val="00202FFC"/>
    <w:rsid w:val="00227379"/>
    <w:rsid w:val="0023188D"/>
    <w:rsid w:val="00243ACA"/>
    <w:rsid w:val="00243EA2"/>
    <w:rsid w:val="00254C50"/>
    <w:rsid w:val="002607A6"/>
    <w:rsid w:val="00263E96"/>
    <w:rsid w:val="00273D51"/>
    <w:rsid w:val="00286D55"/>
    <w:rsid w:val="00290CA9"/>
    <w:rsid w:val="002936C2"/>
    <w:rsid w:val="002A034B"/>
    <w:rsid w:val="002A0A2E"/>
    <w:rsid w:val="002A1323"/>
    <w:rsid w:val="002A5EA2"/>
    <w:rsid w:val="002A6371"/>
    <w:rsid w:val="002A6387"/>
    <w:rsid w:val="002B3630"/>
    <w:rsid w:val="002B4387"/>
    <w:rsid w:val="002B5BFC"/>
    <w:rsid w:val="002C7BAF"/>
    <w:rsid w:val="002D3018"/>
    <w:rsid w:val="002E258E"/>
    <w:rsid w:val="002F2177"/>
    <w:rsid w:val="002F53F7"/>
    <w:rsid w:val="00304F7C"/>
    <w:rsid w:val="00322845"/>
    <w:rsid w:val="00331E68"/>
    <w:rsid w:val="00340C53"/>
    <w:rsid w:val="00353615"/>
    <w:rsid w:val="00353A7D"/>
    <w:rsid w:val="00355AD9"/>
    <w:rsid w:val="003664C0"/>
    <w:rsid w:val="00366AF0"/>
    <w:rsid w:val="003677DC"/>
    <w:rsid w:val="00371BF6"/>
    <w:rsid w:val="00375583"/>
    <w:rsid w:val="003814D1"/>
    <w:rsid w:val="003A121D"/>
    <w:rsid w:val="003A4FFA"/>
    <w:rsid w:val="003A63BC"/>
    <w:rsid w:val="003C471A"/>
    <w:rsid w:val="003D09F7"/>
    <w:rsid w:val="003D53A6"/>
    <w:rsid w:val="003D5677"/>
    <w:rsid w:val="003E4F12"/>
    <w:rsid w:val="003E6168"/>
    <w:rsid w:val="0040160A"/>
    <w:rsid w:val="00421367"/>
    <w:rsid w:val="00424EA6"/>
    <w:rsid w:val="00426C99"/>
    <w:rsid w:val="0043134C"/>
    <w:rsid w:val="004367C4"/>
    <w:rsid w:val="00437070"/>
    <w:rsid w:val="004411C8"/>
    <w:rsid w:val="0044414C"/>
    <w:rsid w:val="004466C5"/>
    <w:rsid w:val="004726FB"/>
    <w:rsid w:val="00472783"/>
    <w:rsid w:val="00472950"/>
    <w:rsid w:val="00474F8E"/>
    <w:rsid w:val="00476D4E"/>
    <w:rsid w:val="00484406"/>
    <w:rsid w:val="00493F0A"/>
    <w:rsid w:val="004954D3"/>
    <w:rsid w:val="004B589F"/>
    <w:rsid w:val="004B7532"/>
    <w:rsid w:val="004B7608"/>
    <w:rsid w:val="004C5896"/>
    <w:rsid w:val="004C7E90"/>
    <w:rsid w:val="004D1988"/>
    <w:rsid w:val="004D2BFF"/>
    <w:rsid w:val="004D36A8"/>
    <w:rsid w:val="004E14BD"/>
    <w:rsid w:val="004E6EA0"/>
    <w:rsid w:val="004F0CC8"/>
    <w:rsid w:val="0050650A"/>
    <w:rsid w:val="0051065E"/>
    <w:rsid w:val="00512A6F"/>
    <w:rsid w:val="005272A7"/>
    <w:rsid w:val="00536EFC"/>
    <w:rsid w:val="00557453"/>
    <w:rsid w:val="00561882"/>
    <w:rsid w:val="00583491"/>
    <w:rsid w:val="00591CD8"/>
    <w:rsid w:val="005A2BA3"/>
    <w:rsid w:val="005A3C02"/>
    <w:rsid w:val="005B51C8"/>
    <w:rsid w:val="005B66AC"/>
    <w:rsid w:val="005B6DCC"/>
    <w:rsid w:val="005C0BBA"/>
    <w:rsid w:val="005C3624"/>
    <w:rsid w:val="005C3E37"/>
    <w:rsid w:val="005C6736"/>
    <w:rsid w:val="005D1D52"/>
    <w:rsid w:val="005D1F64"/>
    <w:rsid w:val="005E4814"/>
    <w:rsid w:val="005E4F76"/>
    <w:rsid w:val="005F3671"/>
    <w:rsid w:val="006039E8"/>
    <w:rsid w:val="006058DC"/>
    <w:rsid w:val="00606BD0"/>
    <w:rsid w:val="00606C83"/>
    <w:rsid w:val="006120EE"/>
    <w:rsid w:val="006122B8"/>
    <w:rsid w:val="00614685"/>
    <w:rsid w:val="00617D05"/>
    <w:rsid w:val="00641CED"/>
    <w:rsid w:val="00644025"/>
    <w:rsid w:val="00645B9D"/>
    <w:rsid w:val="00666780"/>
    <w:rsid w:val="00685DA7"/>
    <w:rsid w:val="006A0181"/>
    <w:rsid w:val="006B3245"/>
    <w:rsid w:val="006B456B"/>
    <w:rsid w:val="006C48ED"/>
    <w:rsid w:val="006C576A"/>
    <w:rsid w:val="006C59A5"/>
    <w:rsid w:val="006D1165"/>
    <w:rsid w:val="006D4B63"/>
    <w:rsid w:val="006D673A"/>
    <w:rsid w:val="006D6D6F"/>
    <w:rsid w:val="006E3B88"/>
    <w:rsid w:val="006E6DAA"/>
    <w:rsid w:val="006F4838"/>
    <w:rsid w:val="007009B9"/>
    <w:rsid w:val="00700C7D"/>
    <w:rsid w:val="007023F2"/>
    <w:rsid w:val="00702CCB"/>
    <w:rsid w:val="007032C4"/>
    <w:rsid w:val="00704C9C"/>
    <w:rsid w:val="0071186B"/>
    <w:rsid w:val="00712030"/>
    <w:rsid w:val="00712F75"/>
    <w:rsid w:val="00714C8F"/>
    <w:rsid w:val="00716C35"/>
    <w:rsid w:val="0072296A"/>
    <w:rsid w:val="0073209B"/>
    <w:rsid w:val="007357A5"/>
    <w:rsid w:val="00741A0A"/>
    <w:rsid w:val="00743A59"/>
    <w:rsid w:val="00744CED"/>
    <w:rsid w:val="007450F2"/>
    <w:rsid w:val="00746413"/>
    <w:rsid w:val="00747C6B"/>
    <w:rsid w:val="00751AB2"/>
    <w:rsid w:val="0075539F"/>
    <w:rsid w:val="00761CCD"/>
    <w:rsid w:val="00771A01"/>
    <w:rsid w:val="00772167"/>
    <w:rsid w:val="0078225C"/>
    <w:rsid w:val="00790E9E"/>
    <w:rsid w:val="007A176A"/>
    <w:rsid w:val="007A2072"/>
    <w:rsid w:val="007A367B"/>
    <w:rsid w:val="007A798E"/>
    <w:rsid w:val="007B5387"/>
    <w:rsid w:val="007B5415"/>
    <w:rsid w:val="007C2EC5"/>
    <w:rsid w:val="007C6D9C"/>
    <w:rsid w:val="007C76E8"/>
    <w:rsid w:val="007E2CFF"/>
    <w:rsid w:val="00810716"/>
    <w:rsid w:val="0083068D"/>
    <w:rsid w:val="00835724"/>
    <w:rsid w:val="00836637"/>
    <w:rsid w:val="008439B5"/>
    <w:rsid w:val="008452E1"/>
    <w:rsid w:val="00846500"/>
    <w:rsid w:val="008767B1"/>
    <w:rsid w:val="00887264"/>
    <w:rsid w:val="008B3767"/>
    <w:rsid w:val="008B6764"/>
    <w:rsid w:val="008F4C2F"/>
    <w:rsid w:val="008F6330"/>
    <w:rsid w:val="008F7877"/>
    <w:rsid w:val="00901B5E"/>
    <w:rsid w:val="009037B2"/>
    <w:rsid w:val="00915E87"/>
    <w:rsid w:val="00917F01"/>
    <w:rsid w:val="00920676"/>
    <w:rsid w:val="009328FE"/>
    <w:rsid w:val="00933F25"/>
    <w:rsid w:val="00934C08"/>
    <w:rsid w:val="00934DCE"/>
    <w:rsid w:val="0094180F"/>
    <w:rsid w:val="00944431"/>
    <w:rsid w:val="00945056"/>
    <w:rsid w:val="009454A1"/>
    <w:rsid w:val="00945DF6"/>
    <w:rsid w:val="00952111"/>
    <w:rsid w:val="00977E28"/>
    <w:rsid w:val="009A0719"/>
    <w:rsid w:val="009A2C65"/>
    <w:rsid w:val="009A3932"/>
    <w:rsid w:val="009A452F"/>
    <w:rsid w:val="009A54E0"/>
    <w:rsid w:val="009B0C0C"/>
    <w:rsid w:val="009B2041"/>
    <w:rsid w:val="009B3342"/>
    <w:rsid w:val="009B3C3D"/>
    <w:rsid w:val="009B7F7C"/>
    <w:rsid w:val="009C597E"/>
    <w:rsid w:val="009C6068"/>
    <w:rsid w:val="009D0090"/>
    <w:rsid w:val="009D651F"/>
    <w:rsid w:val="009D7878"/>
    <w:rsid w:val="009E044B"/>
    <w:rsid w:val="009E6F56"/>
    <w:rsid w:val="00A15548"/>
    <w:rsid w:val="00A17937"/>
    <w:rsid w:val="00A218DA"/>
    <w:rsid w:val="00A220F8"/>
    <w:rsid w:val="00A24EB2"/>
    <w:rsid w:val="00A333C0"/>
    <w:rsid w:val="00A35149"/>
    <w:rsid w:val="00A420EB"/>
    <w:rsid w:val="00A45FE9"/>
    <w:rsid w:val="00A51AFD"/>
    <w:rsid w:val="00A549A8"/>
    <w:rsid w:val="00A56861"/>
    <w:rsid w:val="00A724FC"/>
    <w:rsid w:val="00A859BA"/>
    <w:rsid w:val="00A90374"/>
    <w:rsid w:val="00A96D14"/>
    <w:rsid w:val="00AA75A1"/>
    <w:rsid w:val="00AB4F65"/>
    <w:rsid w:val="00AC2016"/>
    <w:rsid w:val="00AC2B40"/>
    <w:rsid w:val="00AD19EE"/>
    <w:rsid w:val="00AD3271"/>
    <w:rsid w:val="00AE0927"/>
    <w:rsid w:val="00AE73C3"/>
    <w:rsid w:val="00AF2473"/>
    <w:rsid w:val="00B07B3A"/>
    <w:rsid w:val="00B131B1"/>
    <w:rsid w:val="00B16374"/>
    <w:rsid w:val="00B246DE"/>
    <w:rsid w:val="00B2601F"/>
    <w:rsid w:val="00B313CA"/>
    <w:rsid w:val="00B331FF"/>
    <w:rsid w:val="00B35916"/>
    <w:rsid w:val="00B40966"/>
    <w:rsid w:val="00B41607"/>
    <w:rsid w:val="00B55A87"/>
    <w:rsid w:val="00B75FA7"/>
    <w:rsid w:val="00B83934"/>
    <w:rsid w:val="00B91994"/>
    <w:rsid w:val="00BA1FEB"/>
    <w:rsid w:val="00BA4C49"/>
    <w:rsid w:val="00BC4826"/>
    <w:rsid w:val="00BD667F"/>
    <w:rsid w:val="00BE7FE4"/>
    <w:rsid w:val="00BF67C8"/>
    <w:rsid w:val="00C051F0"/>
    <w:rsid w:val="00C16432"/>
    <w:rsid w:val="00C2034B"/>
    <w:rsid w:val="00C22985"/>
    <w:rsid w:val="00C33C47"/>
    <w:rsid w:val="00C34F62"/>
    <w:rsid w:val="00C35E2A"/>
    <w:rsid w:val="00C501C0"/>
    <w:rsid w:val="00C524C4"/>
    <w:rsid w:val="00C53F02"/>
    <w:rsid w:val="00C60B1E"/>
    <w:rsid w:val="00C61F41"/>
    <w:rsid w:val="00CA4CA1"/>
    <w:rsid w:val="00CB47C8"/>
    <w:rsid w:val="00CB6BEF"/>
    <w:rsid w:val="00CC4605"/>
    <w:rsid w:val="00CC60B8"/>
    <w:rsid w:val="00CD5FA1"/>
    <w:rsid w:val="00CD7BFB"/>
    <w:rsid w:val="00CE4F74"/>
    <w:rsid w:val="00CF5D31"/>
    <w:rsid w:val="00D001E9"/>
    <w:rsid w:val="00D04EDB"/>
    <w:rsid w:val="00D132A3"/>
    <w:rsid w:val="00D15A86"/>
    <w:rsid w:val="00D21F48"/>
    <w:rsid w:val="00D25D30"/>
    <w:rsid w:val="00D41C86"/>
    <w:rsid w:val="00D43321"/>
    <w:rsid w:val="00D44E3E"/>
    <w:rsid w:val="00D47E94"/>
    <w:rsid w:val="00D53295"/>
    <w:rsid w:val="00D55DBF"/>
    <w:rsid w:val="00D61320"/>
    <w:rsid w:val="00D700FC"/>
    <w:rsid w:val="00D86431"/>
    <w:rsid w:val="00D871C2"/>
    <w:rsid w:val="00D901B3"/>
    <w:rsid w:val="00D966DC"/>
    <w:rsid w:val="00DA1EF8"/>
    <w:rsid w:val="00DA4664"/>
    <w:rsid w:val="00DB47BD"/>
    <w:rsid w:val="00DC1721"/>
    <w:rsid w:val="00DC259A"/>
    <w:rsid w:val="00DC7494"/>
    <w:rsid w:val="00DC79A5"/>
    <w:rsid w:val="00DD7ACC"/>
    <w:rsid w:val="00DE10A0"/>
    <w:rsid w:val="00DE27E4"/>
    <w:rsid w:val="00DE3104"/>
    <w:rsid w:val="00E06975"/>
    <w:rsid w:val="00E12B9B"/>
    <w:rsid w:val="00E15B18"/>
    <w:rsid w:val="00E24CD4"/>
    <w:rsid w:val="00E26AB9"/>
    <w:rsid w:val="00E275A3"/>
    <w:rsid w:val="00E3287E"/>
    <w:rsid w:val="00E72809"/>
    <w:rsid w:val="00E74429"/>
    <w:rsid w:val="00E745A7"/>
    <w:rsid w:val="00E849D9"/>
    <w:rsid w:val="00E86764"/>
    <w:rsid w:val="00E87267"/>
    <w:rsid w:val="00E93942"/>
    <w:rsid w:val="00E93AE1"/>
    <w:rsid w:val="00E95C9E"/>
    <w:rsid w:val="00EA2184"/>
    <w:rsid w:val="00EB01BD"/>
    <w:rsid w:val="00EB100D"/>
    <w:rsid w:val="00EE2E2B"/>
    <w:rsid w:val="00EE319E"/>
    <w:rsid w:val="00EE58A1"/>
    <w:rsid w:val="00F02248"/>
    <w:rsid w:val="00F17C3A"/>
    <w:rsid w:val="00F274BC"/>
    <w:rsid w:val="00F33E61"/>
    <w:rsid w:val="00F44476"/>
    <w:rsid w:val="00F47BB1"/>
    <w:rsid w:val="00F70C8E"/>
    <w:rsid w:val="00F74A02"/>
    <w:rsid w:val="00F77256"/>
    <w:rsid w:val="00F77A16"/>
    <w:rsid w:val="00F86111"/>
    <w:rsid w:val="00F87C73"/>
    <w:rsid w:val="00F942BE"/>
    <w:rsid w:val="00F97343"/>
    <w:rsid w:val="00FC235B"/>
    <w:rsid w:val="00FC7028"/>
    <w:rsid w:val="00FD5859"/>
    <w:rsid w:val="00FD685B"/>
    <w:rsid w:val="00FE568D"/>
    <w:rsid w:val="00FE6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70277"/>
  <w15:docId w15:val="{B934AA9A-8569-4A7B-8095-4E5FF100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64"/>
    <w:pPr>
      <w:spacing w:after="0" w:line="240" w:lineRule="auto"/>
    </w:pPr>
    <w:rPr>
      <w:rFonts w:ascii="Myriad Pro" w:hAnsi="Myriad Pro"/>
    </w:rPr>
  </w:style>
  <w:style w:type="paragraph" w:styleId="Heading1">
    <w:name w:val="heading 1"/>
    <w:basedOn w:val="Normal"/>
    <w:next w:val="Normal"/>
    <w:link w:val="Heading1Char"/>
    <w:uiPriority w:val="9"/>
    <w:qFormat/>
    <w:rsid w:val="00A220F8"/>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4AE9"/>
    <w:pPr>
      <w:keepNext/>
      <w:keepLines/>
      <w:spacing w:before="40"/>
      <w:outlineLvl w:val="1"/>
    </w:pPr>
    <w:rPr>
      <w:rFonts w:eastAsiaTheme="majorEastAsia" w:cstheme="majorBidi"/>
      <w:b/>
      <w:i/>
      <w:color w:val="FF6D14"/>
      <w:sz w:val="24"/>
      <w:szCs w:val="26"/>
    </w:rPr>
  </w:style>
  <w:style w:type="paragraph" w:styleId="Heading3">
    <w:name w:val="heading 3"/>
    <w:basedOn w:val="Normal"/>
    <w:next w:val="Normal"/>
    <w:link w:val="Heading3Char"/>
    <w:uiPriority w:val="9"/>
    <w:unhideWhenUsed/>
    <w:qFormat/>
    <w:rsid w:val="008767B1"/>
    <w:pPr>
      <w:keepNext/>
      <w:keepLines/>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E15B18"/>
    <w:pPr>
      <w:keepNext/>
      <w:keepLines/>
      <w:spacing w:before="40"/>
      <w:outlineLvl w:val="3"/>
    </w:pPr>
    <w:rPr>
      <w:rFonts w:eastAsiaTheme="majorEastAsia" w:cstheme="majorBidi"/>
      <w:b/>
      <w:i/>
      <w:iCs/>
      <w:color w:val="7AB800"/>
      <w:sz w:val="24"/>
    </w:rPr>
  </w:style>
  <w:style w:type="paragraph" w:styleId="Heading5">
    <w:name w:val="heading 5"/>
    <w:basedOn w:val="Normal"/>
    <w:next w:val="Normal"/>
    <w:link w:val="Heading5Char"/>
    <w:uiPriority w:val="9"/>
    <w:unhideWhenUsed/>
    <w:qFormat/>
    <w:rsid w:val="00A220F8"/>
    <w:pPr>
      <w:keepNext/>
      <w:keepLines/>
      <w:spacing w:before="4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C8"/>
    <w:rPr>
      <w:color w:val="808080"/>
    </w:rPr>
  </w:style>
  <w:style w:type="paragraph" w:styleId="Title">
    <w:name w:val="Title"/>
    <w:basedOn w:val="Normal"/>
    <w:next w:val="Normal"/>
    <w:link w:val="TitleChar"/>
    <w:uiPriority w:val="10"/>
    <w:qFormat/>
    <w:rsid w:val="001D7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C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0F8"/>
    <w:rPr>
      <w:rFonts w:ascii="Myriad Pro" w:eastAsiaTheme="majorEastAsia" w:hAnsi="Myriad Pro" w:cstheme="majorBidi"/>
      <w:color w:val="2E74B5" w:themeColor="accent1" w:themeShade="BF"/>
      <w:sz w:val="32"/>
      <w:szCs w:val="32"/>
    </w:rPr>
  </w:style>
  <w:style w:type="character" w:customStyle="1" w:styleId="Heading2Char">
    <w:name w:val="Heading 2 Char"/>
    <w:basedOn w:val="DefaultParagraphFont"/>
    <w:link w:val="Heading2"/>
    <w:uiPriority w:val="9"/>
    <w:rsid w:val="001A4AE9"/>
    <w:rPr>
      <w:rFonts w:ascii="Myriad Pro" w:eastAsiaTheme="majorEastAsia" w:hAnsi="Myriad Pro" w:cstheme="majorBidi"/>
      <w:b/>
      <w:i/>
      <w:color w:val="FF6D14"/>
      <w:sz w:val="24"/>
      <w:szCs w:val="26"/>
    </w:rPr>
  </w:style>
  <w:style w:type="paragraph" w:styleId="Header">
    <w:name w:val="header"/>
    <w:basedOn w:val="Normal"/>
    <w:link w:val="HeaderChar"/>
    <w:uiPriority w:val="99"/>
    <w:unhideWhenUsed/>
    <w:rsid w:val="001D7CC8"/>
    <w:pPr>
      <w:tabs>
        <w:tab w:val="center" w:pos="4680"/>
        <w:tab w:val="right" w:pos="9360"/>
      </w:tabs>
    </w:pPr>
  </w:style>
  <w:style w:type="character" w:customStyle="1" w:styleId="HeaderChar">
    <w:name w:val="Header Char"/>
    <w:basedOn w:val="DefaultParagraphFont"/>
    <w:link w:val="Header"/>
    <w:uiPriority w:val="99"/>
    <w:rsid w:val="001D7CC8"/>
  </w:style>
  <w:style w:type="paragraph" w:styleId="Footer">
    <w:name w:val="footer"/>
    <w:basedOn w:val="Normal"/>
    <w:link w:val="FooterChar"/>
    <w:uiPriority w:val="99"/>
    <w:unhideWhenUsed/>
    <w:rsid w:val="001D7CC8"/>
    <w:pPr>
      <w:tabs>
        <w:tab w:val="center" w:pos="4680"/>
        <w:tab w:val="right" w:pos="9360"/>
      </w:tabs>
    </w:pPr>
  </w:style>
  <w:style w:type="character" w:customStyle="1" w:styleId="FooterChar">
    <w:name w:val="Footer Char"/>
    <w:basedOn w:val="DefaultParagraphFont"/>
    <w:link w:val="Footer"/>
    <w:uiPriority w:val="99"/>
    <w:rsid w:val="001D7CC8"/>
  </w:style>
  <w:style w:type="character" w:customStyle="1" w:styleId="Heading3Char">
    <w:name w:val="Heading 3 Char"/>
    <w:basedOn w:val="DefaultParagraphFont"/>
    <w:link w:val="Heading3"/>
    <w:uiPriority w:val="9"/>
    <w:rsid w:val="008767B1"/>
    <w:rPr>
      <w:rFonts w:ascii="Myriad Pro" w:eastAsiaTheme="majorEastAsia" w:hAnsi="Myriad Pro" w:cstheme="majorBidi"/>
      <w:i/>
      <w:sz w:val="24"/>
      <w:szCs w:val="24"/>
    </w:rPr>
  </w:style>
  <w:style w:type="paragraph" w:styleId="ListParagraph">
    <w:name w:val="List Paragraph"/>
    <w:basedOn w:val="Normal"/>
    <w:uiPriority w:val="34"/>
    <w:qFormat/>
    <w:rsid w:val="00CA4CA1"/>
    <w:pPr>
      <w:ind w:left="720"/>
      <w:contextualSpacing/>
    </w:pPr>
  </w:style>
  <w:style w:type="character" w:customStyle="1" w:styleId="Heading4Char">
    <w:name w:val="Heading 4 Char"/>
    <w:basedOn w:val="DefaultParagraphFont"/>
    <w:link w:val="Heading4"/>
    <w:uiPriority w:val="9"/>
    <w:rsid w:val="00E15B18"/>
    <w:rPr>
      <w:rFonts w:ascii="Myriad Pro" w:eastAsiaTheme="majorEastAsia" w:hAnsi="Myriad Pro" w:cstheme="majorBidi"/>
      <w:b/>
      <w:i/>
      <w:iCs/>
      <w:color w:val="7AB800"/>
      <w:sz w:val="24"/>
    </w:rPr>
  </w:style>
  <w:style w:type="paragraph" w:styleId="NoSpacing">
    <w:name w:val="No Spacing"/>
    <w:uiPriority w:val="1"/>
    <w:qFormat/>
    <w:rsid w:val="00A220F8"/>
    <w:pPr>
      <w:spacing w:after="0" w:line="240" w:lineRule="auto"/>
    </w:pPr>
    <w:rPr>
      <w:rFonts w:ascii="Myriad Pro" w:hAnsi="Myriad Pro"/>
    </w:rPr>
  </w:style>
  <w:style w:type="character" w:customStyle="1" w:styleId="Heading5Char">
    <w:name w:val="Heading 5 Char"/>
    <w:basedOn w:val="DefaultParagraphFont"/>
    <w:link w:val="Heading5"/>
    <w:uiPriority w:val="9"/>
    <w:rsid w:val="00A220F8"/>
    <w:rPr>
      <w:rFonts w:ascii="Myriad Pro" w:eastAsiaTheme="majorEastAsia" w:hAnsi="Myriad Pro" w:cstheme="majorBidi"/>
      <w:color w:val="2E74B5" w:themeColor="accent1" w:themeShade="BF"/>
    </w:rPr>
  </w:style>
  <w:style w:type="character" w:styleId="CommentReference">
    <w:name w:val="annotation reference"/>
    <w:basedOn w:val="DefaultParagraphFont"/>
    <w:uiPriority w:val="99"/>
    <w:semiHidden/>
    <w:unhideWhenUsed/>
    <w:rsid w:val="00716C35"/>
    <w:rPr>
      <w:sz w:val="16"/>
      <w:szCs w:val="16"/>
    </w:rPr>
  </w:style>
  <w:style w:type="paragraph" w:styleId="CommentText">
    <w:name w:val="annotation text"/>
    <w:basedOn w:val="Normal"/>
    <w:link w:val="CommentTextChar"/>
    <w:uiPriority w:val="99"/>
    <w:unhideWhenUsed/>
    <w:rsid w:val="00716C35"/>
    <w:rPr>
      <w:sz w:val="20"/>
      <w:szCs w:val="20"/>
    </w:rPr>
  </w:style>
  <w:style w:type="character" w:customStyle="1" w:styleId="CommentTextChar">
    <w:name w:val="Comment Text Char"/>
    <w:basedOn w:val="DefaultParagraphFont"/>
    <w:link w:val="CommentText"/>
    <w:uiPriority w:val="99"/>
    <w:rsid w:val="00716C35"/>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716C35"/>
    <w:rPr>
      <w:b/>
      <w:bCs/>
    </w:rPr>
  </w:style>
  <w:style w:type="character" w:customStyle="1" w:styleId="CommentSubjectChar">
    <w:name w:val="Comment Subject Char"/>
    <w:basedOn w:val="CommentTextChar"/>
    <w:link w:val="CommentSubject"/>
    <w:uiPriority w:val="99"/>
    <w:semiHidden/>
    <w:rsid w:val="00716C35"/>
    <w:rPr>
      <w:rFonts w:ascii="Myriad Pro" w:hAnsi="Myriad Pro"/>
      <w:b/>
      <w:bCs/>
      <w:sz w:val="20"/>
      <w:szCs w:val="20"/>
    </w:rPr>
  </w:style>
  <w:style w:type="paragraph" w:styleId="BalloonText">
    <w:name w:val="Balloon Text"/>
    <w:basedOn w:val="Normal"/>
    <w:link w:val="BalloonTextChar"/>
    <w:uiPriority w:val="99"/>
    <w:semiHidden/>
    <w:unhideWhenUsed/>
    <w:rsid w:val="00716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35"/>
    <w:rPr>
      <w:rFonts w:ascii="Segoe UI" w:hAnsi="Segoe UI" w:cs="Segoe UI"/>
      <w:sz w:val="18"/>
      <w:szCs w:val="18"/>
    </w:rPr>
  </w:style>
  <w:style w:type="paragraph" w:customStyle="1" w:styleId="Style1">
    <w:name w:val="Style1"/>
    <w:basedOn w:val="Heading1"/>
    <w:link w:val="Style1Char"/>
    <w:qFormat/>
    <w:rsid w:val="00A24EB2"/>
    <w:pPr>
      <w:numPr>
        <w:numId w:val="4"/>
      </w:numPr>
      <w:spacing w:before="0"/>
    </w:pPr>
    <w:rPr>
      <w:noProof/>
      <w:color w:val="009AA6"/>
    </w:rPr>
  </w:style>
  <w:style w:type="table" w:styleId="TableGrid">
    <w:name w:val="Table Grid"/>
    <w:basedOn w:val="TableNormal"/>
    <w:uiPriority w:val="39"/>
    <w:rsid w:val="00A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A24EB2"/>
    <w:rPr>
      <w:rFonts w:ascii="Myriad Pro" w:eastAsiaTheme="majorEastAsia" w:hAnsi="Myriad Pro" w:cstheme="majorBidi"/>
      <w:noProof/>
      <w:color w:val="009AA6"/>
      <w:sz w:val="32"/>
      <w:szCs w:val="32"/>
    </w:rPr>
  </w:style>
  <w:style w:type="character" w:styleId="Hyperlink">
    <w:name w:val="Hyperlink"/>
    <w:basedOn w:val="DefaultParagraphFont"/>
    <w:uiPriority w:val="99"/>
    <w:unhideWhenUsed/>
    <w:rsid w:val="00355AD9"/>
    <w:rPr>
      <w:color w:val="0563C1" w:themeColor="hyperlink"/>
      <w:u w:val="single"/>
    </w:rPr>
  </w:style>
  <w:style w:type="paragraph" w:styleId="TOCHeading">
    <w:name w:val="TOC Heading"/>
    <w:basedOn w:val="Heading1"/>
    <w:next w:val="Normal"/>
    <w:uiPriority w:val="39"/>
    <w:unhideWhenUsed/>
    <w:qFormat/>
    <w:rsid w:val="00355AD9"/>
    <w:pPr>
      <w:outlineLvl w:val="9"/>
    </w:pPr>
    <w:rPr>
      <w:rFonts w:asciiTheme="majorHAnsi" w:hAnsiTheme="majorHAnsi"/>
    </w:rPr>
  </w:style>
  <w:style w:type="paragraph" w:styleId="TOC1">
    <w:name w:val="toc 1"/>
    <w:basedOn w:val="Normal"/>
    <w:next w:val="Normal"/>
    <w:autoRedefine/>
    <w:uiPriority w:val="39"/>
    <w:unhideWhenUsed/>
    <w:rsid w:val="00355AD9"/>
    <w:pPr>
      <w:spacing w:after="100"/>
    </w:pPr>
  </w:style>
  <w:style w:type="paragraph" w:styleId="TOC2">
    <w:name w:val="toc 2"/>
    <w:basedOn w:val="Normal"/>
    <w:next w:val="Normal"/>
    <w:autoRedefine/>
    <w:uiPriority w:val="39"/>
    <w:unhideWhenUsed/>
    <w:rsid w:val="00355AD9"/>
    <w:pPr>
      <w:spacing w:after="100"/>
      <w:ind w:left="220"/>
    </w:pPr>
  </w:style>
  <w:style w:type="paragraph" w:styleId="TOC3">
    <w:name w:val="toc 3"/>
    <w:basedOn w:val="Normal"/>
    <w:next w:val="Normal"/>
    <w:autoRedefine/>
    <w:uiPriority w:val="39"/>
    <w:unhideWhenUsed/>
    <w:rsid w:val="0075539F"/>
    <w:pPr>
      <w:tabs>
        <w:tab w:val="right" w:leader="dot" w:pos="9350"/>
      </w:tabs>
      <w:spacing w:after="100"/>
      <w:ind w:left="440"/>
    </w:pPr>
    <w:rPr>
      <w:b/>
      <w:noProof/>
    </w:rPr>
  </w:style>
  <w:style w:type="paragraph" w:styleId="Revision">
    <w:name w:val="Revision"/>
    <w:hidden/>
    <w:uiPriority w:val="99"/>
    <w:semiHidden/>
    <w:rsid w:val="00243EA2"/>
    <w:pPr>
      <w:spacing w:after="0" w:line="240" w:lineRule="auto"/>
    </w:pPr>
    <w:rPr>
      <w:rFonts w:ascii="Myriad Pro" w:hAnsi="Myriad Pro"/>
    </w:rPr>
  </w:style>
  <w:style w:type="paragraph" w:styleId="NormalWeb">
    <w:name w:val="Normal (Web)"/>
    <w:basedOn w:val="Normal"/>
    <w:uiPriority w:val="99"/>
    <w:semiHidden/>
    <w:unhideWhenUsed/>
    <w:rsid w:val="00E9394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367B"/>
    <w:rPr>
      <w:color w:val="954F72" w:themeColor="followedHyperlink"/>
      <w:u w:val="single"/>
    </w:rPr>
  </w:style>
  <w:style w:type="paragraph" w:styleId="FootnoteText">
    <w:name w:val="footnote text"/>
    <w:basedOn w:val="Normal"/>
    <w:link w:val="FootnoteTextChar"/>
    <w:uiPriority w:val="99"/>
    <w:semiHidden/>
    <w:unhideWhenUsed/>
    <w:rsid w:val="007A367B"/>
    <w:rPr>
      <w:sz w:val="20"/>
      <w:szCs w:val="20"/>
    </w:rPr>
  </w:style>
  <w:style w:type="character" w:customStyle="1" w:styleId="FootnoteTextChar">
    <w:name w:val="Footnote Text Char"/>
    <w:basedOn w:val="DefaultParagraphFont"/>
    <w:link w:val="FootnoteText"/>
    <w:uiPriority w:val="99"/>
    <w:semiHidden/>
    <w:rsid w:val="007A367B"/>
    <w:rPr>
      <w:rFonts w:ascii="Myriad Pro" w:hAnsi="Myriad Pro"/>
      <w:sz w:val="20"/>
      <w:szCs w:val="20"/>
    </w:rPr>
  </w:style>
  <w:style w:type="character" w:styleId="FootnoteReference">
    <w:name w:val="footnote reference"/>
    <w:basedOn w:val="DefaultParagraphFont"/>
    <w:uiPriority w:val="99"/>
    <w:semiHidden/>
    <w:unhideWhenUsed/>
    <w:rsid w:val="007A367B"/>
    <w:rPr>
      <w:vertAlign w:val="superscript"/>
    </w:rPr>
  </w:style>
  <w:style w:type="character" w:customStyle="1" w:styleId="UnresolvedMention">
    <w:name w:val="Unresolved Mention"/>
    <w:basedOn w:val="DefaultParagraphFont"/>
    <w:uiPriority w:val="99"/>
    <w:semiHidden/>
    <w:unhideWhenUsed/>
    <w:rsid w:val="00C051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2394">
      <w:bodyDiv w:val="1"/>
      <w:marLeft w:val="0"/>
      <w:marRight w:val="0"/>
      <w:marTop w:val="0"/>
      <w:marBottom w:val="0"/>
      <w:divBdr>
        <w:top w:val="none" w:sz="0" w:space="0" w:color="auto"/>
        <w:left w:val="none" w:sz="0" w:space="0" w:color="auto"/>
        <w:bottom w:val="none" w:sz="0" w:space="0" w:color="auto"/>
        <w:right w:val="none" w:sz="0" w:space="0" w:color="auto"/>
      </w:divBdr>
      <w:divsChild>
        <w:div w:id="671418491">
          <w:marLeft w:val="547"/>
          <w:marRight w:val="0"/>
          <w:marTop w:val="0"/>
          <w:marBottom w:val="0"/>
          <w:divBdr>
            <w:top w:val="none" w:sz="0" w:space="0" w:color="auto"/>
            <w:left w:val="none" w:sz="0" w:space="0" w:color="auto"/>
            <w:bottom w:val="none" w:sz="0" w:space="0" w:color="auto"/>
            <w:right w:val="none" w:sz="0" w:space="0" w:color="auto"/>
          </w:divBdr>
        </w:div>
        <w:div w:id="1263881755">
          <w:marLeft w:val="547"/>
          <w:marRight w:val="0"/>
          <w:marTop w:val="0"/>
          <w:marBottom w:val="0"/>
          <w:divBdr>
            <w:top w:val="none" w:sz="0" w:space="0" w:color="auto"/>
            <w:left w:val="none" w:sz="0" w:space="0" w:color="auto"/>
            <w:bottom w:val="none" w:sz="0" w:space="0" w:color="auto"/>
            <w:right w:val="none" w:sz="0" w:space="0" w:color="auto"/>
          </w:divBdr>
        </w:div>
      </w:divsChild>
    </w:div>
    <w:div w:id="210074524">
      <w:bodyDiv w:val="1"/>
      <w:marLeft w:val="0"/>
      <w:marRight w:val="0"/>
      <w:marTop w:val="0"/>
      <w:marBottom w:val="0"/>
      <w:divBdr>
        <w:top w:val="none" w:sz="0" w:space="0" w:color="auto"/>
        <w:left w:val="none" w:sz="0" w:space="0" w:color="auto"/>
        <w:bottom w:val="none" w:sz="0" w:space="0" w:color="auto"/>
        <w:right w:val="none" w:sz="0" w:space="0" w:color="auto"/>
      </w:divBdr>
      <w:divsChild>
        <w:div w:id="968902454">
          <w:marLeft w:val="403"/>
          <w:marRight w:val="0"/>
          <w:marTop w:val="0"/>
          <w:marBottom w:val="0"/>
          <w:divBdr>
            <w:top w:val="none" w:sz="0" w:space="0" w:color="auto"/>
            <w:left w:val="none" w:sz="0" w:space="0" w:color="auto"/>
            <w:bottom w:val="none" w:sz="0" w:space="0" w:color="auto"/>
            <w:right w:val="none" w:sz="0" w:space="0" w:color="auto"/>
          </w:divBdr>
        </w:div>
      </w:divsChild>
    </w:div>
    <w:div w:id="457376154">
      <w:bodyDiv w:val="1"/>
      <w:marLeft w:val="0"/>
      <w:marRight w:val="0"/>
      <w:marTop w:val="0"/>
      <w:marBottom w:val="0"/>
      <w:divBdr>
        <w:top w:val="none" w:sz="0" w:space="0" w:color="auto"/>
        <w:left w:val="none" w:sz="0" w:space="0" w:color="auto"/>
        <w:bottom w:val="none" w:sz="0" w:space="0" w:color="auto"/>
        <w:right w:val="none" w:sz="0" w:space="0" w:color="auto"/>
      </w:divBdr>
      <w:divsChild>
        <w:div w:id="1684629460">
          <w:marLeft w:val="533"/>
          <w:marRight w:val="0"/>
          <w:marTop w:val="0"/>
          <w:marBottom w:val="0"/>
          <w:divBdr>
            <w:top w:val="none" w:sz="0" w:space="0" w:color="auto"/>
            <w:left w:val="none" w:sz="0" w:space="0" w:color="auto"/>
            <w:bottom w:val="none" w:sz="0" w:space="0" w:color="auto"/>
            <w:right w:val="none" w:sz="0" w:space="0" w:color="auto"/>
          </w:divBdr>
        </w:div>
        <w:div w:id="280959778">
          <w:marLeft w:val="533"/>
          <w:marRight w:val="0"/>
          <w:marTop w:val="0"/>
          <w:marBottom w:val="0"/>
          <w:divBdr>
            <w:top w:val="none" w:sz="0" w:space="0" w:color="auto"/>
            <w:left w:val="none" w:sz="0" w:space="0" w:color="auto"/>
            <w:bottom w:val="none" w:sz="0" w:space="0" w:color="auto"/>
            <w:right w:val="none" w:sz="0" w:space="0" w:color="auto"/>
          </w:divBdr>
        </w:div>
        <w:div w:id="4749514">
          <w:marLeft w:val="533"/>
          <w:marRight w:val="0"/>
          <w:marTop w:val="0"/>
          <w:marBottom w:val="0"/>
          <w:divBdr>
            <w:top w:val="none" w:sz="0" w:space="0" w:color="auto"/>
            <w:left w:val="none" w:sz="0" w:space="0" w:color="auto"/>
            <w:bottom w:val="none" w:sz="0" w:space="0" w:color="auto"/>
            <w:right w:val="none" w:sz="0" w:space="0" w:color="auto"/>
          </w:divBdr>
        </w:div>
        <w:div w:id="1506440712">
          <w:marLeft w:val="533"/>
          <w:marRight w:val="0"/>
          <w:marTop w:val="0"/>
          <w:marBottom w:val="0"/>
          <w:divBdr>
            <w:top w:val="none" w:sz="0" w:space="0" w:color="auto"/>
            <w:left w:val="none" w:sz="0" w:space="0" w:color="auto"/>
            <w:bottom w:val="none" w:sz="0" w:space="0" w:color="auto"/>
            <w:right w:val="none" w:sz="0" w:space="0" w:color="auto"/>
          </w:divBdr>
        </w:div>
        <w:div w:id="1223247115">
          <w:marLeft w:val="533"/>
          <w:marRight w:val="0"/>
          <w:marTop w:val="0"/>
          <w:marBottom w:val="0"/>
          <w:divBdr>
            <w:top w:val="none" w:sz="0" w:space="0" w:color="auto"/>
            <w:left w:val="none" w:sz="0" w:space="0" w:color="auto"/>
            <w:bottom w:val="none" w:sz="0" w:space="0" w:color="auto"/>
            <w:right w:val="none" w:sz="0" w:space="0" w:color="auto"/>
          </w:divBdr>
        </w:div>
        <w:div w:id="1133870660">
          <w:marLeft w:val="1080"/>
          <w:marRight w:val="0"/>
          <w:marTop w:val="0"/>
          <w:marBottom w:val="0"/>
          <w:divBdr>
            <w:top w:val="none" w:sz="0" w:space="0" w:color="auto"/>
            <w:left w:val="none" w:sz="0" w:space="0" w:color="auto"/>
            <w:bottom w:val="none" w:sz="0" w:space="0" w:color="auto"/>
            <w:right w:val="none" w:sz="0" w:space="0" w:color="auto"/>
          </w:divBdr>
        </w:div>
      </w:divsChild>
    </w:div>
    <w:div w:id="518736409">
      <w:bodyDiv w:val="1"/>
      <w:marLeft w:val="0"/>
      <w:marRight w:val="0"/>
      <w:marTop w:val="0"/>
      <w:marBottom w:val="0"/>
      <w:divBdr>
        <w:top w:val="none" w:sz="0" w:space="0" w:color="auto"/>
        <w:left w:val="none" w:sz="0" w:space="0" w:color="auto"/>
        <w:bottom w:val="none" w:sz="0" w:space="0" w:color="auto"/>
        <w:right w:val="none" w:sz="0" w:space="0" w:color="auto"/>
      </w:divBdr>
    </w:div>
    <w:div w:id="545606365">
      <w:bodyDiv w:val="1"/>
      <w:marLeft w:val="0"/>
      <w:marRight w:val="0"/>
      <w:marTop w:val="0"/>
      <w:marBottom w:val="0"/>
      <w:divBdr>
        <w:top w:val="none" w:sz="0" w:space="0" w:color="auto"/>
        <w:left w:val="none" w:sz="0" w:space="0" w:color="auto"/>
        <w:bottom w:val="none" w:sz="0" w:space="0" w:color="auto"/>
        <w:right w:val="none" w:sz="0" w:space="0" w:color="auto"/>
      </w:divBdr>
      <w:divsChild>
        <w:div w:id="177087919">
          <w:marLeft w:val="720"/>
          <w:marRight w:val="0"/>
          <w:marTop w:val="0"/>
          <w:marBottom w:val="0"/>
          <w:divBdr>
            <w:top w:val="none" w:sz="0" w:space="0" w:color="auto"/>
            <w:left w:val="none" w:sz="0" w:space="0" w:color="auto"/>
            <w:bottom w:val="none" w:sz="0" w:space="0" w:color="auto"/>
            <w:right w:val="none" w:sz="0" w:space="0" w:color="auto"/>
          </w:divBdr>
        </w:div>
        <w:div w:id="2002194876">
          <w:marLeft w:val="720"/>
          <w:marRight w:val="0"/>
          <w:marTop w:val="0"/>
          <w:marBottom w:val="0"/>
          <w:divBdr>
            <w:top w:val="none" w:sz="0" w:space="0" w:color="auto"/>
            <w:left w:val="none" w:sz="0" w:space="0" w:color="auto"/>
            <w:bottom w:val="none" w:sz="0" w:space="0" w:color="auto"/>
            <w:right w:val="none" w:sz="0" w:space="0" w:color="auto"/>
          </w:divBdr>
        </w:div>
        <w:div w:id="1983581705">
          <w:marLeft w:val="720"/>
          <w:marRight w:val="0"/>
          <w:marTop w:val="0"/>
          <w:marBottom w:val="0"/>
          <w:divBdr>
            <w:top w:val="none" w:sz="0" w:space="0" w:color="auto"/>
            <w:left w:val="none" w:sz="0" w:space="0" w:color="auto"/>
            <w:bottom w:val="none" w:sz="0" w:space="0" w:color="auto"/>
            <w:right w:val="none" w:sz="0" w:space="0" w:color="auto"/>
          </w:divBdr>
        </w:div>
        <w:div w:id="592129509">
          <w:marLeft w:val="720"/>
          <w:marRight w:val="0"/>
          <w:marTop w:val="0"/>
          <w:marBottom w:val="0"/>
          <w:divBdr>
            <w:top w:val="none" w:sz="0" w:space="0" w:color="auto"/>
            <w:left w:val="none" w:sz="0" w:space="0" w:color="auto"/>
            <w:bottom w:val="none" w:sz="0" w:space="0" w:color="auto"/>
            <w:right w:val="none" w:sz="0" w:space="0" w:color="auto"/>
          </w:divBdr>
        </w:div>
        <w:div w:id="769160184">
          <w:marLeft w:val="720"/>
          <w:marRight w:val="0"/>
          <w:marTop w:val="0"/>
          <w:marBottom w:val="0"/>
          <w:divBdr>
            <w:top w:val="none" w:sz="0" w:space="0" w:color="auto"/>
            <w:left w:val="none" w:sz="0" w:space="0" w:color="auto"/>
            <w:bottom w:val="none" w:sz="0" w:space="0" w:color="auto"/>
            <w:right w:val="none" w:sz="0" w:space="0" w:color="auto"/>
          </w:divBdr>
        </w:div>
      </w:divsChild>
    </w:div>
    <w:div w:id="624507643">
      <w:bodyDiv w:val="1"/>
      <w:marLeft w:val="0"/>
      <w:marRight w:val="0"/>
      <w:marTop w:val="0"/>
      <w:marBottom w:val="0"/>
      <w:divBdr>
        <w:top w:val="none" w:sz="0" w:space="0" w:color="auto"/>
        <w:left w:val="none" w:sz="0" w:space="0" w:color="auto"/>
        <w:bottom w:val="none" w:sz="0" w:space="0" w:color="auto"/>
        <w:right w:val="none" w:sz="0" w:space="0" w:color="auto"/>
      </w:divBdr>
      <w:divsChild>
        <w:div w:id="238290771">
          <w:marLeft w:val="547"/>
          <w:marRight w:val="0"/>
          <w:marTop w:val="0"/>
          <w:marBottom w:val="0"/>
          <w:divBdr>
            <w:top w:val="none" w:sz="0" w:space="0" w:color="auto"/>
            <w:left w:val="none" w:sz="0" w:space="0" w:color="auto"/>
            <w:bottom w:val="none" w:sz="0" w:space="0" w:color="auto"/>
            <w:right w:val="none" w:sz="0" w:space="0" w:color="auto"/>
          </w:divBdr>
        </w:div>
        <w:div w:id="2137791886">
          <w:marLeft w:val="547"/>
          <w:marRight w:val="0"/>
          <w:marTop w:val="0"/>
          <w:marBottom w:val="0"/>
          <w:divBdr>
            <w:top w:val="none" w:sz="0" w:space="0" w:color="auto"/>
            <w:left w:val="none" w:sz="0" w:space="0" w:color="auto"/>
            <w:bottom w:val="none" w:sz="0" w:space="0" w:color="auto"/>
            <w:right w:val="none" w:sz="0" w:space="0" w:color="auto"/>
          </w:divBdr>
        </w:div>
        <w:div w:id="508719609">
          <w:marLeft w:val="1080"/>
          <w:marRight w:val="0"/>
          <w:marTop w:val="0"/>
          <w:marBottom w:val="0"/>
          <w:divBdr>
            <w:top w:val="none" w:sz="0" w:space="0" w:color="auto"/>
            <w:left w:val="none" w:sz="0" w:space="0" w:color="auto"/>
            <w:bottom w:val="none" w:sz="0" w:space="0" w:color="auto"/>
            <w:right w:val="none" w:sz="0" w:space="0" w:color="auto"/>
          </w:divBdr>
        </w:div>
        <w:div w:id="1552108661">
          <w:marLeft w:val="547"/>
          <w:marRight w:val="0"/>
          <w:marTop w:val="0"/>
          <w:marBottom w:val="0"/>
          <w:divBdr>
            <w:top w:val="none" w:sz="0" w:space="0" w:color="auto"/>
            <w:left w:val="none" w:sz="0" w:space="0" w:color="auto"/>
            <w:bottom w:val="none" w:sz="0" w:space="0" w:color="auto"/>
            <w:right w:val="none" w:sz="0" w:space="0" w:color="auto"/>
          </w:divBdr>
        </w:div>
        <w:div w:id="63987676">
          <w:marLeft w:val="547"/>
          <w:marRight w:val="0"/>
          <w:marTop w:val="0"/>
          <w:marBottom w:val="0"/>
          <w:divBdr>
            <w:top w:val="none" w:sz="0" w:space="0" w:color="auto"/>
            <w:left w:val="none" w:sz="0" w:space="0" w:color="auto"/>
            <w:bottom w:val="none" w:sz="0" w:space="0" w:color="auto"/>
            <w:right w:val="none" w:sz="0" w:space="0" w:color="auto"/>
          </w:divBdr>
        </w:div>
      </w:divsChild>
    </w:div>
    <w:div w:id="844595012">
      <w:bodyDiv w:val="1"/>
      <w:marLeft w:val="0"/>
      <w:marRight w:val="0"/>
      <w:marTop w:val="0"/>
      <w:marBottom w:val="0"/>
      <w:divBdr>
        <w:top w:val="none" w:sz="0" w:space="0" w:color="auto"/>
        <w:left w:val="none" w:sz="0" w:space="0" w:color="auto"/>
        <w:bottom w:val="none" w:sz="0" w:space="0" w:color="auto"/>
        <w:right w:val="none" w:sz="0" w:space="0" w:color="auto"/>
      </w:divBdr>
      <w:divsChild>
        <w:div w:id="1241670586">
          <w:marLeft w:val="360"/>
          <w:marRight w:val="0"/>
          <w:marTop w:val="200"/>
          <w:marBottom w:val="0"/>
          <w:divBdr>
            <w:top w:val="none" w:sz="0" w:space="0" w:color="auto"/>
            <w:left w:val="none" w:sz="0" w:space="0" w:color="auto"/>
            <w:bottom w:val="none" w:sz="0" w:space="0" w:color="auto"/>
            <w:right w:val="none" w:sz="0" w:space="0" w:color="auto"/>
          </w:divBdr>
        </w:div>
        <w:div w:id="1772240857">
          <w:marLeft w:val="1080"/>
          <w:marRight w:val="0"/>
          <w:marTop w:val="100"/>
          <w:marBottom w:val="0"/>
          <w:divBdr>
            <w:top w:val="none" w:sz="0" w:space="0" w:color="auto"/>
            <w:left w:val="none" w:sz="0" w:space="0" w:color="auto"/>
            <w:bottom w:val="none" w:sz="0" w:space="0" w:color="auto"/>
            <w:right w:val="none" w:sz="0" w:space="0" w:color="auto"/>
          </w:divBdr>
        </w:div>
        <w:div w:id="709382077">
          <w:marLeft w:val="1080"/>
          <w:marRight w:val="0"/>
          <w:marTop w:val="100"/>
          <w:marBottom w:val="0"/>
          <w:divBdr>
            <w:top w:val="none" w:sz="0" w:space="0" w:color="auto"/>
            <w:left w:val="none" w:sz="0" w:space="0" w:color="auto"/>
            <w:bottom w:val="none" w:sz="0" w:space="0" w:color="auto"/>
            <w:right w:val="none" w:sz="0" w:space="0" w:color="auto"/>
          </w:divBdr>
        </w:div>
      </w:divsChild>
    </w:div>
    <w:div w:id="967467238">
      <w:bodyDiv w:val="1"/>
      <w:marLeft w:val="0"/>
      <w:marRight w:val="0"/>
      <w:marTop w:val="0"/>
      <w:marBottom w:val="0"/>
      <w:divBdr>
        <w:top w:val="none" w:sz="0" w:space="0" w:color="auto"/>
        <w:left w:val="none" w:sz="0" w:space="0" w:color="auto"/>
        <w:bottom w:val="none" w:sz="0" w:space="0" w:color="auto"/>
        <w:right w:val="none" w:sz="0" w:space="0" w:color="auto"/>
      </w:divBdr>
      <w:divsChild>
        <w:div w:id="590310563">
          <w:marLeft w:val="360"/>
          <w:marRight w:val="0"/>
          <w:marTop w:val="200"/>
          <w:marBottom w:val="0"/>
          <w:divBdr>
            <w:top w:val="none" w:sz="0" w:space="0" w:color="auto"/>
            <w:left w:val="none" w:sz="0" w:space="0" w:color="auto"/>
            <w:bottom w:val="none" w:sz="0" w:space="0" w:color="auto"/>
            <w:right w:val="none" w:sz="0" w:space="0" w:color="auto"/>
          </w:divBdr>
        </w:div>
        <w:div w:id="277421439">
          <w:marLeft w:val="360"/>
          <w:marRight w:val="0"/>
          <w:marTop w:val="200"/>
          <w:marBottom w:val="0"/>
          <w:divBdr>
            <w:top w:val="none" w:sz="0" w:space="0" w:color="auto"/>
            <w:left w:val="none" w:sz="0" w:space="0" w:color="auto"/>
            <w:bottom w:val="none" w:sz="0" w:space="0" w:color="auto"/>
            <w:right w:val="none" w:sz="0" w:space="0" w:color="auto"/>
          </w:divBdr>
        </w:div>
        <w:div w:id="534003183">
          <w:marLeft w:val="360"/>
          <w:marRight w:val="0"/>
          <w:marTop w:val="200"/>
          <w:marBottom w:val="0"/>
          <w:divBdr>
            <w:top w:val="none" w:sz="0" w:space="0" w:color="auto"/>
            <w:left w:val="none" w:sz="0" w:space="0" w:color="auto"/>
            <w:bottom w:val="none" w:sz="0" w:space="0" w:color="auto"/>
            <w:right w:val="none" w:sz="0" w:space="0" w:color="auto"/>
          </w:divBdr>
        </w:div>
        <w:div w:id="1336373933">
          <w:marLeft w:val="360"/>
          <w:marRight w:val="0"/>
          <w:marTop w:val="200"/>
          <w:marBottom w:val="0"/>
          <w:divBdr>
            <w:top w:val="none" w:sz="0" w:space="0" w:color="auto"/>
            <w:left w:val="none" w:sz="0" w:space="0" w:color="auto"/>
            <w:bottom w:val="none" w:sz="0" w:space="0" w:color="auto"/>
            <w:right w:val="none" w:sz="0" w:space="0" w:color="auto"/>
          </w:divBdr>
        </w:div>
        <w:div w:id="472673990">
          <w:marLeft w:val="1080"/>
          <w:marRight w:val="0"/>
          <w:marTop w:val="100"/>
          <w:marBottom w:val="0"/>
          <w:divBdr>
            <w:top w:val="none" w:sz="0" w:space="0" w:color="auto"/>
            <w:left w:val="none" w:sz="0" w:space="0" w:color="auto"/>
            <w:bottom w:val="none" w:sz="0" w:space="0" w:color="auto"/>
            <w:right w:val="none" w:sz="0" w:space="0" w:color="auto"/>
          </w:divBdr>
        </w:div>
      </w:divsChild>
    </w:div>
    <w:div w:id="1094284257">
      <w:bodyDiv w:val="1"/>
      <w:marLeft w:val="0"/>
      <w:marRight w:val="0"/>
      <w:marTop w:val="0"/>
      <w:marBottom w:val="0"/>
      <w:divBdr>
        <w:top w:val="none" w:sz="0" w:space="0" w:color="auto"/>
        <w:left w:val="none" w:sz="0" w:space="0" w:color="auto"/>
        <w:bottom w:val="none" w:sz="0" w:space="0" w:color="auto"/>
        <w:right w:val="none" w:sz="0" w:space="0" w:color="auto"/>
      </w:divBdr>
      <w:divsChild>
        <w:div w:id="442386438">
          <w:marLeft w:val="403"/>
          <w:marRight w:val="0"/>
          <w:marTop w:val="0"/>
          <w:marBottom w:val="120"/>
          <w:divBdr>
            <w:top w:val="none" w:sz="0" w:space="0" w:color="auto"/>
            <w:left w:val="none" w:sz="0" w:space="0" w:color="auto"/>
            <w:bottom w:val="none" w:sz="0" w:space="0" w:color="auto"/>
            <w:right w:val="none" w:sz="0" w:space="0" w:color="auto"/>
          </w:divBdr>
        </w:div>
        <w:div w:id="404642696">
          <w:marLeft w:val="878"/>
          <w:marRight w:val="0"/>
          <w:marTop w:val="0"/>
          <w:marBottom w:val="120"/>
          <w:divBdr>
            <w:top w:val="none" w:sz="0" w:space="0" w:color="auto"/>
            <w:left w:val="none" w:sz="0" w:space="0" w:color="auto"/>
            <w:bottom w:val="none" w:sz="0" w:space="0" w:color="auto"/>
            <w:right w:val="none" w:sz="0" w:space="0" w:color="auto"/>
          </w:divBdr>
        </w:div>
        <w:div w:id="1651983346">
          <w:marLeft w:val="878"/>
          <w:marRight w:val="0"/>
          <w:marTop w:val="0"/>
          <w:marBottom w:val="120"/>
          <w:divBdr>
            <w:top w:val="none" w:sz="0" w:space="0" w:color="auto"/>
            <w:left w:val="none" w:sz="0" w:space="0" w:color="auto"/>
            <w:bottom w:val="none" w:sz="0" w:space="0" w:color="auto"/>
            <w:right w:val="none" w:sz="0" w:space="0" w:color="auto"/>
          </w:divBdr>
        </w:div>
        <w:div w:id="1931499418">
          <w:marLeft w:val="403"/>
          <w:marRight w:val="0"/>
          <w:marTop w:val="0"/>
          <w:marBottom w:val="120"/>
          <w:divBdr>
            <w:top w:val="none" w:sz="0" w:space="0" w:color="auto"/>
            <w:left w:val="none" w:sz="0" w:space="0" w:color="auto"/>
            <w:bottom w:val="none" w:sz="0" w:space="0" w:color="auto"/>
            <w:right w:val="none" w:sz="0" w:space="0" w:color="auto"/>
          </w:divBdr>
        </w:div>
        <w:div w:id="1077094542">
          <w:marLeft w:val="878"/>
          <w:marRight w:val="0"/>
          <w:marTop w:val="0"/>
          <w:marBottom w:val="120"/>
          <w:divBdr>
            <w:top w:val="none" w:sz="0" w:space="0" w:color="auto"/>
            <w:left w:val="none" w:sz="0" w:space="0" w:color="auto"/>
            <w:bottom w:val="none" w:sz="0" w:space="0" w:color="auto"/>
            <w:right w:val="none" w:sz="0" w:space="0" w:color="auto"/>
          </w:divBdr>
        </w:div>
        <w:div w:id="446585911">
          <w:marLeft w:val="403"/>
          <w:marRight w:val="0"/>
          <w:marTop w:val="0"/>
          <w:marBottom w:val="120"/>
          <w:divBdr>
            <w:top w:val="none" w:sz="0" w:space="0" w:color="auto"/>
            <w:left w:val="none" w:sz="0" w:space="0" w:color="auto"/>
            <w:bottom w:val="none" w:sz="0" w:space="0" w:color="auto"/>
            <w:right w:val="none" w:sz="0" w:space="0" w:color="auto"/>
          </w:divBdr>
        </w:div>
      </w:divsChild>
    </w:div>
    <w:div w:id="1213537542">
      <w:bodyDiv w:val="1"/>
      <w:marLeft w:val="0"/>
      <w:marRight w:val="0"/>
      <w:marTop w:val="0"/>
      <w:marBottom w:val="0"/>
      <w:divBdr>
        <w:top w:val="none" w:sz="0" w:space="0" w:color="auto"/>
        <w:left w:val="none" w:sz="0" w:space="0" w:color="auto"/>
        <w:bottom w:val="none" w:sz="0" w:space="0" w:color="auto"/>
        <w:right w:val="none" w:sz="0" w:space="0" w:color="auto"/>
      </w:divBdr>
      <w:divsChild>
        <w:div w:id="1687243283">
          <w:marLeft w:val="677"/>
          <w:marRight w:val="0"/>
          <w:marTop w:val="0"/>
          <w:marBottom w:val="0"/>
          <w:divBdr>
            <w:top w:val="none" w:sz="0" w:space="0" w:color="auto"/>
            <w:left w:val="none" w:sz="0" w:space="0" w:color="auto"/>
            <w:bottom w:val="none" w:sz="0" w:space="0" w:color="auto"/>
            <w:right w:val="none" w:sz="0" w:space="0" w:color="auto"/>
          </w:divBdr>
        </w:div>
      </w:divsChild>
    </w:div>
    <w:div w:id="1281690455">
      <w:bodyDiv w:val="1"/>
      <w:marLeft w:val="0"/>
      <w:marRight w:val="0"/>
      <w:marTop w:val="0"/>
      <w:marBottom w:val="0"/>
      <w:divBdr>
        <w:top w:val="none" w:sz="0" w:space="0" w:color="auto"/>
        <w:left w:val="none" w:sz="0" w:space="0" w:color="auto"/>
        <w:bottom w:val="none" w:sz="0" w:space="0" w:color="auto"/>
        <w:right w:val="none" w:sz="0" w:space="0" w:color="auto"/>
      </w:divBdr>
      <w:divsChild>
        <w:div w:id="1412699369">
          <w:marLeft w:val="45"/>
          <w:marRight w:val="45"/>
          <w:marTop w:val="15"/>
          <w:marBottom w:val="0"/>
          <w:divBdr>
            <w:top w:val="none" w:sz="0" w:space="0" w:color="auto"/>
            <w:left w:val="none" w:sz="0" w:space="0" w:color="auto"/>
            <w:bottom w:val="none" w:sz="0" w:space="0" w:color="auto"/>
            <w:right w:val="none" w:sz="0" w:space="0" w:color="auto"/>
          </w:divBdr>
          <w:divsChild>
            <w:div w:id="259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7135">
      <w:bodyDiv w:val="1"/>
      <w:marLeft w:val="0"/>
      <w:marRight w:val="0"/>
      <w:marTop w:val="0"/>
      <w:marBottom w:val="0"/>
      <w:divBdr>
        <w:top w:val="none" w:sz="0" w:space="0" w:color="auto"/>
        <w:left w:val="none" w:sz="0" w:space="0" w:color="auto"/>
        <w:bottom w:val="none" w:sz="0" w:space="0" w:color="auto"/>
        <w:right w:val="none" w:sz="0" w:space="0" w:color="auto"/>
      </w:divBdr>
      <w:divsChild>
        <w:div w:id="2055152918">
          <w:marLeft w:val="403"/>
          <w:marRight w:val="0"/>
          <w:marTop w:val="0"/>
          <w:marBottom w:val="0"/>
          <w:divBdr>
            <w:top w:val="none" w:sz="0" w:space="0" w:color="auto"/>
            <w:left w:val="none" w:sz="0" w:space="0" w:color="auto"/>
            <w:bottom w:val="none" w:sz="0" w:space="0" w:color="auto"/>
            <w:right w:val="none" w:sz="0" w:space="0" w:color="auto"/>
          </w:divBdr>
        </w:div>
        <w:div w:id="992638752">
          <w:marLeft w:val="403"/>
          <w:marRight w:val="0"/>
          <w:marTop w:val="0"/>
          <w:marBottom w:val="0"/>
          <w:divBdr>
            <w:top w:val="none" w:sz="0" w:space="0" w:color="auto"/>
            <w:left w:val="none" w:sz="0" w:space="0" w:color="auto"/>
            <w:bottom w:val="none" w:sz="0" w:space="0" w:color="auto"/>
            <w:right w:val="none" w:sz="0" w:space="0" w:color="auto"/>
          </w:divBdr>
        </w:div>
        <w:div w:id="1886872869">
          <w:marLeft w:val="403"/>
          <w:marRight w:val="0"/>
          <w:marTop w:val="0"/>
          <w:marBottom w:val="0"/>
          <w:divBdr>
            <w:top w:val="none" w:sz="0" w:space="0" w:color="auto"/>
            <w:left w:val="none" w:sz="0" w:space="0" w:color="auto"/>
            <w:bottom w:val="none" w:sz="0" w:space="0" w:color="auto"/>
            <w:right w:val="none" w:sz="0" w:space="0" w:color="auto"/>
          </w:divBdr>
        </w:div>
        <w:div w:id="1100373280">
          <w:marLeft w:val="403"/>
          <w:marRight w:val="0"/>
          <w:marTop w:val="0"/>
          <w:marBottom w:val="0"/>
          <w:divBdr>
            <w:top w:val="none" w:sz="0" w:space="0" w:color="auto"/>
            <w:left w:val="none" w:sz="0" w:space="0" w:color="auto"/>
            <w:bottom w:val="none" w:sz="0" w:space="0" w:color="auto"/>
            <w:right w:val="none" w:sz="0" w:space="0" w:color="auto"/>
          </w:divBdr>
        </w:div>
        <w:div w:id="2059887699">
          <w:marLeft w:val="403"/>
          <w:marRight w:val="0"/>
          <w:marTop w:val="0"/>
          <w:marBottom w:val="0"/>
          <w:divBdr>
            <w:top w:val="none" w:sz="0" w:space="0" w:color="auto"/>
            <w:left w:val="none" w:sz="0" w:space="0" w:color="auto"/>
            <w:bottom w:val="none" w:sz="0" w:space="0" w:color="auto"/>
            <w:right w:val="none" w:sz="0" w:space="0" w:color="auto"/>
          </w:divBdr>
        </w:div>
        <w:div w:id="258880062">
          <w:marLeft w:val="878"/>
          <w:marRight w:val="0"/>
          <w:marTop w:val="0"/>
          <w:marBottom w:val="0"/>
          <w:divBdr>
            <w:top w:val="none" w:sz="0" w:space="0" w:color="auto"/>
            <w:left w:val="none" w:sz="0" w:space="0" w:color="auto"/>
            <w:bottom w:val="none" w:sz="0" w:space="0" w:color="auto"/>
            <w:right w:val="none" w:sz="0" w:space="0" w:color="auto"/>
          </w:divBdr>
        </w:div>
        <w:div w:id="700397816">
          <w:marLeft w:val="878"/>
          <w:marRight w:val="0"/>
          <w:marTop w:val="0"/>
          <w:marBottom w:val="0"/>
          <w:divBdr>
            <w:top w:val="none" w:sz="0" w:space="0" w:color="auto"/>
            <w:left w:val="none" w:sz="0" w:space="0" w:color="auto"/>
            <w:bottom w:val="none" w:sz="0" w:space="0" w:color="auto"/>
            <w:right w:val="none" w:sz="0" w:space="0" w:color="auto"/>
          </w:divBdr>
        </w:div>
        <w:div w:id="753630779">
          <w:marLeft w:val="878"/>
          <w:marRight w:val="0"/>
          <w:marTop w:val="0"/>
          <w:marBottom w:val="0"/>
          <w:divBdr>
            <w:top w:val="none" w:sz="0" w:space="0" w:color="auto"/>
            <w:left w:val="none" w:sz="0" w:space="0" w:color="auto"/>
            <w:bottom w:val="none" w:sz="0" w:space="0" w:color="auto"/>
            <w:right w:val="none" w:sz="0" w:space="0" w:color="auto"/>
          </w:divBdr>
        </w:div>
      </w:divsChild>
    </w:div>
    <w:div w:id="1548178061">
      <w:bodyDiv w:val="1"/>
      <w:marLeft w:val="0"/>
      <w:marRight w:val="0"/>
      <w:marTop w:val="0"/>
      <w:marBottom w:val="0"/>
      <w:divBdr>
        <w:top w:val="none" w:sz="0" w:space="0" w:color="auto"/>
        <w:left w:val="none" w:sz="0" w:space="0" w:color="auto"/>
        <w:bottom w:val="none" w:sz="0" w:space="0" w:color="auto"/>
        <w:right w:val="none" w:sz="0" w:space="0" w:color="auto"/>
      </w:divBdr>
      <w:divsChild>
        <w:div w:id="568268040">
          <w:marLeft w:val="720"/>
          <w:marRight w:val="0"/>
          <w:marTop w:val="0"/>
          <w:marBottom w:val="0"/>
          <w:divBdr>
            <w:top w:val="none" w:sz="0" w:space="0" w:color="auto"/>
            <w:left w:val="none" w:sz="0" w:space="0" w:color="auto"/>
            <w:bottom w:val="none" w:sz="0" w:space="0" w:color="auto"/>
            <w:right w:val="none" w:sz="0" w:space="0" w:color="auto"/>
          </w:divBdr>
        </w:div>
        <w:div w:id="1680547686">
          <w:marLeft w:val="720"/>
          <w:marRight w:val="0"/>
          <w:marTop w:val="0"/>
          <w:marBottom w:val="0"/>
          <w:divBdr>
            <w:top w:val="none" w:sz="0" w:space="0" w:color="auto"/>
            <w:left w:val="none" w:sz="0" w:space="0" w:color="auto"/>
            <w:bottom w:val="none" w:sz="0" w:space="0" w:color="auto"/>
            <w:right w:val="none" w:sz="0" w:space="0" w:color="auto"/>
          </w:divBdr>
        </w:div>
        <w:div w:id="1491602199">
          <w:marLeft w:val="720"/>
          <w:marRight w:val="0"/>
          <w:marTop w:val="0"/>
          <w:marBottom w:val="0"/>
          <w:divBdr>
            <w:top w:val="none" w:sz="0" w:space="0" w:color="auto"/>
            <w:left w:val="none" w:sz="0" w:space="0" w:color="auto"/>
            <w:bottom w:val="none" w:sz="0" w:space="0" w:color="auto"/>
            <w:right w:val="none" w:sz="0" w:space="0" w:color="auto"/>
          </w:divBdr>
        </w:div>
        <w:div w:id="670066970">
          <w:marLeft w:val="720"/>
          <w:marRight w:val="0"/>
          <w:marTop w:val="0"/>
          <w:marBottom w:val="0"/>
          <w:divBdr>
            <w:top w:val="none" w:sz="0" w:space="0" w:color="auto"/>
            <w:left w:val="none" w:sz="0" w:space="0" w:color="auto"/>
            <w:bottom w:val="none" w:sz="0" w:space="0" w:color="auto"/>
            <w:right w:val="none" w:sz="0" w:space="0" w:color="auto"/>
          </w:divBdr>
        </w:div>
        <w:div w:id="418909164">
          <w:marLeft w:val="720"/>
          <w:marRight w:val="0"/>
          <w:marTop w:val="0"/>
          <w:marBottom w:val="0"/>
          <w:divBdr>
            <w:top w:val="none" w:sz="0" w:space="0" w:color="auto"/>
            <w:left w:val="none" w:sz="0" w:space="0" w:color="auto"/>
            <w:bottom w:val="none" w:sz="0" w:space="0" w:color="auto"/>
            <w:right w:val="none" w:sz="0" w:space="0" w:color="auto"/>
          </w:divBdr>
        </w:div>
      </w:divsChild>
    </w:div>
    <w:div w:id="1591694654">
      <w:bodyDiv w:val="1"/>
      <w:marLeft w:val="0"/>
      <w:marRight w:val="0"/>
      <w:marTop w:val="0"/>
      <w:marBottom w:val="0"/>
      <w:divBdr>
        <w:top w:val="none" w:sz="0" w:space="0" w:color="auto"/>
        <w:left w:val="none" w:sz="0" w:space="0" w:color="auto"/>
        <w:bottom w:val="none" w:sz="0" w:space="0" w:color="auto"/>
        <w:right w:val="none" w:sz="0" w:space="0" w:color="auto"/>
      </w:divBdr>
      <w:divsChild>
        <w:div w:id="446310832">
          <w:marLeft w:val="403"/>
          <w:marRight w:val="0"/>
          <w:marTop w:val="0"/>
          <w:marBottom w:val="0"/>
          <w:divBdr>
            <w:top w:val="none" w:sz="0" w:space="0" w:color="auto"/>
            <w:left w:val="none" w:sz="0" w:space="0" w:color="auto"/>
            <w:bottom w:val="none" w:sz="0" w:space="0" w:color="auto"/>
            <w:right w:val="none" w:sz="0" w:space="0" w:color="auto"/>
          </w:divBdr>
        </w:div>
      </w:divsChild>
    </w:div>
    <w:div w:id="1773429565">
      <w:bodyDiv w:val="1"/>
      <w:marLeft w:val="0"/>
      <w:marRight w:val="0"/>
      <w:marTop w:val="0"/>
      <w:marBottom w:val="0"/>
      <w:divBdr>
        <w:top w:val="none" w:sz="0" w:space="0" w:color="auto"/>
        <w:left w:val="none" w:sz="0" w:space="0" w:color="auto"/>
        <w:bottom w:val="none" w:sz="0" w:space="0" w:color="auto"/>
        <w:right w:val="none" w:sz="0" w:space="0" w:color="auto"/>
      </w:divBdr>
      <w:divsChild>
        <w:div w:id="1099720683">
          <w:marLeft w:val="533"/>
          <w:marRight w:val="0"/>
          <w:marTop w:val="0"/>
          <w:marBottom w:val="0"/>
          <w:divBdr>
            <w:top w:val="none" w:sz="0" w:space="0" w:color="auto"/>
            <w:left w:val="none" w:sz="0" w:space="0" w:color="auto"/>
            <w:bottom w:val="none" w:sz="0" w:space="0" w:color="auto"/>
            <w:right w:val="none" w:sz="0" w:space="0" w:color="auto"/>
          </w:divBdr>
        </w:div>
        <w:div w:id="44718021">
          <w:marLeft w:val="533"/>
          <w:marRight w:val="0"/>
          <w:marTop w:val="0"/>
          <w:marBottom w:val="0"/>
          <w:divBdr>
            <w:top w:val="none" w:sz="0" w:space="0" w:color="auto"/>
            <w:left w:val="none" w:sz="0" w:space="0" w:color="auto"/>
            <w:bottom w:val="none" w:sz="0" w:space="0" w:color="auto"/>
            <w:right w:val="none" w:sz="0" w:space="0" w:color="auto"/>
          </w:divBdr>
        </w:div>
        <w:div w:id="2100056467">
          <w:marLeft w:val="533"/>
          <w:marRight w:val="0"/>
          <w:marTop w:val="0"/>
          <w:marBottom w:val="0"/>
          <w:divBdr>
            <w:top w:val="none" w:sz="0" w:space="0" w:color="auto"/>
            <w:left w:val="none" w:sz="0" w:space="0" w:color="auto"/>
            <w:bottom w:val="none" w:sz="0" w:space="0" w:color="auto"/>
            <w:right w:val="none" w:sz="0" w:space="0" w:color="auto"/>
          </w:divBdr>
        </w:div>
        <w:div w:id="141510578">
          <w:marLeft w:val="533"/>
          <w:marRight w:val="0"/>
          <w:marTop w:val="0"/>
          <w:marBottom w:val="0"/>
          <w:divBdr>
            <w:top w:val="none" w:sz="0" w:space="0" w:color="auto"/>
            <w:left w:val="none" w:sz="0" w:space="0" w:color="auto"/>
            <w:bottom w:val="none" w:sz="0" w:space="0" w:color="auto"/>
            <w:right w:val="none" w:sz="0" w:space="0" w:color="auto"/>
          </w:divBdr>
        </w:div>
        <w:div w:id="984431886">
          <w:marLeft w:val="533"/>
          <w:marRight w:val="0"/>
          <w:marTop w:val="0"/>
          <w:marBottom w:val="0"/>
          <w:divBdr>
            <w:top w:val="none" w:sz="0" w:space="0" w:color="auto"/>
            <w:left w:val="none" w:sz="0" w:space="0" w:color="auto"/>
            <w:bottom w:val="none" w:sz="0" w:space="0" w:color="auto"/>
            <w:right w:val="none" w:sz="0" w:space="0" w:color="auto"/>
          </w:divBdr>
        </w:div>
      </w:divsChild>
    </w:div>
    <w:div w:id="1869367046">
      <w:bodyDiv w:val="1"/>
      <w:marLeft w:val="0"/>
      <w:marRight w:val="0"/>
      <w:marTop w:val="0"/>
      <w:marBottom w:val="0"/>
      <w:divBdr>
        <w:top w:val="none" w:sz="0" w:space="0" w:color="auto"/>
        <w:left w:val="none" w:sz="0" w:space="0" w:color="auto"/>
        <w:bottom w:val="none" w:sz="0" w:space="0" w:color="auto"/>
        <w:right w:val="none" w:sz="0" w:space="0" w:color="auto"/>
      </w:divBdr>
      <w:divsChild>
        <w:div w:id="937829073">
          <w:marLeft w:val="360"/>
          <w:marRight w:val="0"/>
          <w:marTop w:val="200"/>
          <w:marBottom w:val="0"/>
          <w:divBdr>
            <w:top w:val="none" w:sz="0" w:space="0" w:color="auto"/>
            <w:left w:val="none" w:sz="0" w:space="0" w:color="auto"/>
            <w:bottom w:val="none" w:sz="0" w:space="0" w:color="auto"/>
            <w:right w:val="none" w:sz="0" w:space="0" w:color="auto"/>
          </w:divBdr>
        </w:div>
        <w:div w:id="765350481">
          <w:marLeft w:val="1080"/>
          <w:marRight w:val="0"/>
          <w:marTop w:val="100"/>
          <w:marBottom w:val="0"/>
          <w:divBdr>
            <w:top w:val="none" w:sz="0" w:space="0" w:color="auto"/>
            <w:left w:val="none" w:sz="0" w:space="0" w:color="auto"/>
            <w:bottom w:val="none" w:sz="0" w:space="0" w:color="auto"/>
            <w:right w:val="none" w:sz="0" w:space="0" w:color="auto"/>
          </w:divBdr>
        </w:div>
        <w:div w:id="2102412314">
          <w:marLeft w:val="1080"/>
          <w:marRight w:val="0"/>
          <w:marTop w:val="100"/>
          <w:marBottom w:val="0"/>
          <w:divBdr>
            <w:top w:val="none" w:sz="0" w:space="0" w:color="auto"/>
            <w:left w:val="none" w:sz="0" w:space="0" w:color="auto"/>
            <w:bottom w:val="none" w:sz="0" w:space="0" w:color="auto"/>
            <w:right w:val="none" w:sz="0" w:space="0" w:color="auto"/>
          </w:divBdr>
        </w:div>
        <w:div w:id="1774126738">
          <w:marLeft w:val="360"/>
          <w:marRight w:val="0"/>
          <w:marTop w:val="200"/>
          <w:marBottom w:val="0"/>
          <w:divBdr>
            <w:top w:val="none" w:sz="0" w:space="0" w:color="auto"/>
            <w:left w:val="none" w:sz="0" w:space="0" w:color="auto"/>
            <w:bottom w:val="none" w:sz="0" w:space="0" w:color="auto"/>
            <w:right w:val="none" w:sz="0" w:space="0" w:color="auto"/>
          </w:divBdr>
        </w:div>
        <w:div w:id="2113434058">
          <w:marLeft w:val="1080"/>
          <w:marRight w:val="0"/>
          <w:marTop w:val="100"/>
          <w:marBottom w:val="0"/>
          <w:divBdr>
            <w:top w:val="none" w:sz="0" w:space="0" w:color="auto"/>
            <w:left w:val="none" w:sz="0" w:space="0" w:color="auto"/>
            <w:bottom w:val="none" w:sz="0" w:space="0" w:color="auto"/>
            <w:right w:val="none" w:sz="0" w:space="0" w:color="auto"/>
          </w:divBdr>
        </w:div>
      </w:divsChild>
    </w:div>
    <w:div w:id="1880700404">
      <w:bodyDiv w:val="1"/>
      <w:marLeft w:val="0"/>
      <w:marRight w:val="0"/>
      <w:marTop w:val="0"/>
      <w:marBottom w:val="0"/>
      <w:divBdr>
        <w:top w:val="none" w:sz="0" w:space="0" w:color="auto"/>
        <w:left w:val="none" w:sz="0" w:space="0" w:color="auto"/>
        <w:bottom w:val="none" w:sz="0" w:space="0" w:color="auto"/>
        <w:right w:val="none" w:sz="0" w:space="0" w:color="auto"/>
      </w:divBdr>
      <w:divsChild>
        <w:div w:id="223763539">
          <w:marLeft w:val="360"/>
          <w:marRight w:val="0"/>
          <w:marTop w:val="200"/>
          <w:marBottom w:val="0"/>
          <w:divBdr>
            <w:top w:val="none" w:sz="0" w:space="0" w:color="auto"/>
            <w:left w:val="none" w:sz="0" w:space="0" w:color="auto"/>
            <w:bottom w:val="none" w:sz="0" w:space="0" w:color="auto"/>
            <w:right w:val="none" w:sz="0" w:space="0" w:color="auto"/>
          </w:divBdr>
        </w:div>
        <w:div w:id="1761021580">
          <w:marLeft w:val="1080"/>
          <w:marRight w:val="0"/>
          <w:marTop w:val="100"/>
          <w:marBottom w:val="0"/>
          <w:divBdr>
            <w:top w:val="none" w:sz="0" w:space="0" w:color="auto"/>
            <w:left w:val="none" w:sz="0" w:space="0" w:color="auto"/>
            <w:bottom w:val="none" w:sz="0" w:space="0" w:color="auto"/>
            <w:right w:val="none" w:sz="0" w:space="0" w:color="auto"/>
          </w:divBdr>
        </w:div>
        <w:div w:id="413824174">
          <w:marLeft w:val="1080"/>
          <w:marRight w:val="0"/>
          <w:marTop w:val="100"/>
          <w:marBottom w:val="0"/>
          <w:divBdr>
            <w:top w:val="none" w:sz="0" w:space="0" w:color="auto"/>
            <w:left w:val="none" w:sz="0" w:space="0" w:color="auto"/>
            <w:bottom w:val="none" w:sz="0" w:space="0" w:color="auto"/>
            <w:right w:val="none" w:sz="0" w:space="0" w:color="auto"/>
          </w:divBdr>
        </w:div>
        <w:div w:id="469716657">
          <w:marLeft w:val="1080"/>
          <w:marRight w:val="0"/>
          <w:marTop w:val="100"/>
          <w:marBottom w:val="0"/>
          <w:divBdr>
            <w:top w:val="none" w:sz="0" w:space="0" w:color="auto"/>
            <w:left w:val="none" w:sz="0" w:space="0" w:color="auto"/>
            <w:bottom w:val="none" w:sz="0" w:space="0" w:color="auto"/>
            <w:right w:val="none" w:sz="0" w:space="0" w:color="auto"/>
          </w:divBdr>
        </w:div>
      </w:divsChild>
    </w:div>
    <w:div w:id="1987080399">
      <w:bodyDiv w:val="1"/>
      <w:marLeft w:val="0"/>
      <w:marRight w:val="0"/>
      <w:marTop w:val="0"/>
      <w:marBottom w:val="0"/>
      <w:divBdr>
        <w:top w:val="none" w:sz="0" w:space="0" w:color="auto"/>
        <w:left w:val="none" w:sz="0" w:space="0" w:color="auto"/>
        <w:bottom w:val="none" w:sz="0" w:space="0" w:color="auto"/>
        <w:right w:val="none" w:sz="0" w:space="0" w:color="auto"/>
      </w:divBdr>
      <w:divsChild>
        <w:div w:id="398017954">
          <w:marLeft w:val="677"/>
          <w:marRight w:val="0"/>
          <w:marTop w:val="0"/>
          <w:marBottom w:val="0"/>
          <w:divBdr>
            <w:top w:val="none" w:sz="0" w:space="0" w:color="auto"/>
            <w:left w:val="none" w:sz="0" w:space="0" w:color="auto"/>
            <w:bottom w:val="none" w:sz="0" w:space="0" w:color="auto"/>
            <w:right w:val="none" w:sz="0" w:space="0" w:color="auto"/>
          </w:divBdr>
        </w:div>
        <w:div w:id="771048097">
          <w:marLeft w:val="1210"/>
          <w:marRight w:val="0"/>
          <w:marTop w:val="0"/>
          <w:marBottom w:val="0"/>
          <w:divBdr>
            <w:top w:val="none" w:sz="0" w:space="0" w:color="auto"/>
            <w:left w:val="none" w:sz="0" w:space="0" w:color="auto"/>
            <w:bottom w:val="none" w:sz="0" w:space="0" w:color="auto"/>
            <w:right w:val="none" w:sz="0" w:space="0" w:color="auto"/>
          </w:divBdr>
        </w:div>
        <w:div w:id="1831286851">
          <w:marLeft w:val="1210"/>
          <w:marRight w:val="0"/>
          <w:marTop w:val="0"/>
          <w:marBottom w:val="0"/>
          <w:divBdr>
            <w:top w:val="none" w:sz="0" w:space="0" w:color="auto"/>
            <w:left w:val="none" w:sz="0" w:space="0" w:color="auto"/>
            <w:bottom w:val="none" w:sz="0" w:space="0" w:color="auto"/>
            <w:right w:val="none" w:sz="0" w:space="0" w:color="auto"/>
          </w:divBdr>
        </w:div>
        <w:div w:id="733167613">
          <w:marLeft w:val="677"/>
          <w:marRight w:val="0"/>
          <w:marTop w:val="0"/>
          <w:marBottom w:val="0"/>
          <w:divBdr>
            <w:top w:val="none" w:sz="0" w:space="0" w:color="auto"/>
            <w:left w:val="none" w:sz="0" w:space="0" w:color="auto"/>
            <w:bottom w:val="none" w:sz="0" w:space="0" w:color="auto"/>
            <w:right w:val="none" w:sz="0" w:space="0" w:color="auto"/>
          </w:divBdr>
        </w:div>
        <w:div w:id="483546150">
          <w:marLeft w:val="677"/>
          <w:marRight w:val="0"/>
          <w:marTop w:val="0"/>
          <w:marBottom w:val="0"/>
          <w:divBdr>
            <w:top w:val="none" w:sz="0" w:space="0" w:color="auto"/>
            <w:left w:val="none" w:sz="0" w:space="0" w:color="auto"/>
            <w:bottom w:val="none" w:sz="0" w:space="0" w:color="auto"/>
            <w:right w:val="none" w:sz="0" w:space="0" w:color="auto"/>
          </w:divBdr>
        </w:div>
        <w:div w:id="1416591658">
          <w:marLeft w:val="677"/>
          <w:marRight w:val="0"/>
          <w:marTop w:val="0"/>
          <w:marBottom w:val="0"/>
          <w:divBdr>
            <w:top w:val="none" w:sz="0" w:space="0" w:color="auto"/>
            <w:left w:val="none" w:sz="0" w:space="0" w:color="auto"/>
            <w:bottom w:val="none" w:sz="0" w:space="0" w:color="auto"/>
            <w:right w:val="none" w:sz="0" w:space="0" w:color="auto"/>
          </w:divBdr>
        </w:div>
      </w:divsChild>
    </w:div>
    <w:div w:id="2143768169">
      <w:bodyDiv w:val="1"/>
      <w:marLeft w:val="0"/>
      <w:marRight w:val="0"/>
      <w:marTop w:val="0"/>
      <w:marBottom w:val="0"/>
      <w:divBdr>
        <w:top w:val="none" w:sz="0" w:space="0" w:color="auto"/>
        <w:left w:val="none" w:sz="0" w:space="0" w:color="auto"/>
        <w:bottom w:val="none" w:sz="0" w:space="0" w:color="auto"/>
        <w:right w:val="none" w:sz="0" w:space="0" w:color="auto"/>
      </w:divBdr>
      <w:divsChild>
        <w:div w:id="888683427">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tech.org/vision" TargetMode="External"/><Relationship Id="rId18" Type="http://schemas.openxmlformats.org/officeDocument/2006/relationships/hyperlink" Target="http://marylandpublicschools.org/programs/Documents/CTE/CTEBlueBook2017.pdf" TargetMode="External"/><Relationship Id="rId26" Type="http://schemas.openxmlformats.org/officeDocument/2006/relationships/hyperlink" Target="https://careertech.org/resource/california-career-pathways-trust" TargetMode="External"/><Relationship Id="rId39" Type="http://schemas.openxmlformats.org/officeDocument/2006/relationships/hyperlink" Target="http://www.fldoe.org/core/fileparse.php/5423/urlt/statewide-postsecondary-articulation-manual.pdf" TargetMode="External"/><Relationship Id="rId21" Type="http://schemas.openxmlformats.org/officeDocument/2006/relationships/hyperlink" Target="https://careertech.org/state-director-leadership" TargetMode="External"/><Relationship Id="rId34" Type="http://schemas.openxmlformats.org/officeDocument/2006/relationships/hyperlink" Target="http://www.ncperkins.org/pluginfile.php/2341/mod_resource/content/2/RFP%20for%20Pathway%20Incentive%20Grant.pdf" TargetMode="External"/><Relationship Id="rId42" Type="http://schemas.openxmlformats.org/officeDocument/2006/relationships/hyperlink" Target="mailto:kkreamer@careertech.org" TargetMode="External"/><Relationship Id="rId47" Type="http://schemas.openxmlformats.org/officeDocument/2006/relationships/hyperlink" Target="https://careertech.org/resource/putting-LMI-right-hands-guide" TargetMode="External"/><Relationship Id="rId50" Type="http://schemas.openxmlformats.org/officeDocument/2006/relationships/hyperlink" Target="https://lctcs-egms.force.com/servlet/servlet.FileDownload?file=01536000001UcdT" TargetMode="External"/><Relationship Id="rId55" Type="http://schemas.openxmlformats.org/officeDocument/2006/relationships/hyperlink" Target="https://www.louisianabelieves.com/resources/library/cours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n.gov/content/dam/tn/education/ccte/cte/cte_pos_2017-18.pdf" TargetMode="External"/><Relationship Id="rId20" Type="http://schemas.openxmlformats.org/officeDocument/2006/relationships/hyperlink" Target="https://tea.texas.gov/WorkArea/DownloadAsset.aspx?id=51539610389" TargetMode="External"/><Relationship Id="rId29" Type="http://schemas.openxmlformats.org/officeDocument/2006/relationships/chart" Target="charts/chart1.xml"/><Relationship Id="rId41" Type="http://schemas.openxmlformats.org/officeDocument/2006/relationships/hyperlink" Target="https://careertech.org/resources/state-cte-standards" TargetMode="External"/><Relationship Id="rId54" Type="http://schemas.openxmlformats.org/officeDocument/2006/relationships/hyperlink" Target="http://connectingcredentials.org/wp-content/uploads/2015/06/MakingTheCase-6-8-15.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careertech.org/sites/default/files/Program%20Approval%20Policy%20Benchmark%20Tool_Section%201.pdf" TargetMode="External"/><Relationship Id="rId24" Type="http://schemas.openxmlformats.org/officeDocument/2006/relationships/hyperlink" Target="https://education.ky.gov/districts/business/Documents/FY17%20Energy%20Technology%20%20RFA.doc" TargetMode="External"/><Relationship Id="rId32" Type="http://schemas.openxmlformats.org/officeDocument/2006/relationships/hyperlink" Target="http://www.ode.state.or.us/search/page/?=1101" TargetMode="External"/><Relationship Id="rId37" Type="http://schemas.openxmlformats.org/officeDocument/2006/relationships/hyperlink" Target="https://cte.careertech.org/sites/default/files/files/resources/CTE_Frontier_Program_Quality_2017_0.pdf" TargetMode="External"/><Relationship Id="rId40" Type="http://schemas.openxmlformats.org/officeDocument/2006/relationships/hyperlink" Target="http://cte.ed.gov/initiatives/programs-of-study" TargetMode="External"/><Relationship Id="rId45" Type="http://schemas.openxmlformats.org/officeDocument/2006/relationships/hyperlink" Target="https://careertech.org/resource/tennessee-standards-revision" TargetMode="External"/><Relationship Id="rId53" Type="http://schemas.openxmlformats.org/officeDocument/2006/relationships/hyperlink" Target="https://careertech.org/resource/credentials-of-value" TargetMode="External"/><Relationship Id="rId58" Type="http://schemas.openxmlformats.org/officeDocument/2006/relationships/hyperlink" Target="https://cte.careertech.org/sites/default/files/Program%20Approval%20Policy%20Benchmark%20Tool_Section%204.pdf" TargetMode="External"/><Relationship Id="rId5" Type="http://schemas.openxmlformats.org/officeDocument/2006/relationships/webSettings" Target="webSettings.xml"/><Relationship Id="rId15" Type="http://schemas.openxmlformats.org/officeDocument/2006/relationships/hyperlink" Target="mailto:amcfadden@careertech.org" TargetMode="External"/><Relationship Id="rId23" Type="http://schemas.openxmlformats.org/officeDocument/2006/relationships/hyperlink" Target="http://mus.edu/BigSkyPathways/" TargetMode="External"/><Relationship Id="rId28" Type="http://schemas.openxmlformats.org/officeDocument/2006/relationships/footer" Target="footer1.xml"/><Relationship Id="rId36" Type="http://schemas.openxmlformats.org/officeDocument/2006/relationships/hyperlink" Target="http://www.doe.nv.gov/CTE/College_Credit/" TargetMode="External"/><Relationship Id="rId49" Type="http://schemas.openxmlformats.org/officeDocument/2006/relationships/hyperlink" Target="https://www.tn.gov/content/dam/tn/education/ccte/cte/cte_pos_justification_process.pdf" TargetMode="External"/><Relationship Id="rId57" Type="http://schemas.openxmlformats.org/officeDocument/2006/relationships/hyperlink" Target="http://careerconnections.nj.gov/careerconnections/document/prepare/NJ_Industry_Valued_Credential_List_January_2017.pdf" TargetMode="External"/><Relationship Id="rId61" Type="http://schemas.openxmlformats.org/officeDocument/2006/relationships/fontTable" Target="fontTable.xml"/><Relationship Id="rId10" Type="http://schemas.openxmlformats.org/officeDocument/2006/relationships/hyperlink" Target="https://cte.careertech.org/sites/default/files/CTE_Programs_of_Study_2017.pdf" TargetMode="External"/><Relationship Id="rId19" Type="http://schemas.openxmlformats.org/officeDocument/2006/relationships/hyperlink" Target="https://www.doe.k12.de.us/Page/2016" TargetMode="External"/><Relationship Id="rId31" Type="http://schemas.openxmlformats.org/officeDocument/2006/relationships/hyperlink" Target="http://www.oregon.gov/ode/learning-options/CTE/resources/Pages/CTE-Course-To-Standards-Crosswalks.aspx" TargetMode="External"/><Relationship Id="rId44" Type="http://schemas.openxmlformats.org/officeDocument/2006/relationships/hyperlink" Target="http://www.fldoe.org/academics/career-adult-edu/career-tech-edu/curriculum-frameworks/" TargetMode="External"/><Relationship Id="rId52" Type="http://schemas.openxmlformats.org/officeDocument/2006/relationships/hyperlink" Target="https://careertech.org/resource/alabama-21st-century-workforce-act" TargetMode="External"/><Relationship Id="rId60" Type="http://schemas.openxmlformats.org/officeDocument/2006/relationships/hyperlink" Target="https://www.surveymonkey.com/r/NewSDpost-test" TargetMode="External"/><Relationship Id="rId4" Type="http://schemas.openxmlformats.org/officeDocument/2006/relationships/settings" Target="settings.xml"/><Relationship Id="rId9" Type="http://schemas.openxmlformats.org/officeDocument/2006/relationships/hyperlink" Target="https://www.surveymonkey.com/r/NewSDpre-test" TargetMode="External"/><Relationship Id="rId14" Type="http://schemas.openxmlformats.org/officeDocument/2006/relationships/hyperlink" Target="https://cte.careertech.org/sites/default/files/Program_Approval_Policy_Benchmark_Tool_Section_2.pdf" TargetMode="External"/><Relationship Id="rId22" Type="http://schemas.openxmlformats.org/officeDocument/2006/relationships/hyperlink" Target="http://cte.ed.gov/initiatives/rpos-project" TargetMode="External"/><Relationship Id="rId27" Type="http://schemas.openxmlformats.org/officeDocument/2006/relationships/header" Target="header1.xml"/><Relationship Id="rId30" Type="http://schemas.openxmlformats.org/officeDocument/2006/relationships/chart" Target="charts/chart10.xml"/><Relationship Id="rId35" Type="http://schemas.openxmlformats.org/officeDocument/2006/relationships/hyperlink" Target="https://careertech.org/resource/kansas-excel-in-cte" TargetMode="External"/><Relationship Id="rId43" Type="http://schemas.openxmlformats.org/officeDocument/2006/relationships/hyperlink" Target="http://www.careertech.org/career-clusters" TargetMode="External"/><Relationship Id="rId48" Type="http://schemas.openxmlformats.org/officeDocument/2006/relationships/hyperlink" Target="https://goodjobsdata.org/" TargetMode="External"/><Relationship Id="rId56" Type="http://schemas.openxmlformats.org/officeDocument/2006/relationships/hyperlink" Target="http://www.fldoe.org/academics/career-adult-edu/cape-secondary/cape-industry-cert-funding-list-current.stml" TargetMode="External"/><Relationship Id="rId64" Type="http://schemas.microsoft.com/office/2016/09/relationships/commentsIds" Target="commentsIds.xml"/><Relationship Id="rId8" Type="http://schemas.openxmlformats.org/officeDocument/2006/relationships/image" Target="media/image1.jpeg"/><Relationship Id="rId51" Type="http://schemas.openxmlformats.org/officeDocument/2006/relationships/hyperlink" Target="https://careertech.org/resource/putting-LMI-right-hands-guide" TargetMode="External"/><Relationship Id="rId3" Type="http://schemas.openxmlformats.org/officeDocument/2006/relationships/styles" Target="styles.xml"/><Relationship Id="rId12" Type="http://schemas.openxmlformats.org/officeDocument/2006/relationships/hyperlink" Target="https://careertech.org/resource/raising-the-bar" TargetMode="External"/><Relationship Id="rId17" Type="http://schemas.openxmlformats.org/officeDocument/2006/relationships/hyperlink" Target="https://www.google.com/url?sa=t&amp;rct=j&amp;q=&amp;esrc=s&amp;source=web&amp;cd=2&amp;cad=rja&amp;uact=8&amp;ved=0ahUKEwip8MPW7uvYAhXrRN8KHfP9BssQFggtMAE&amp;url=http%3A%2F%2Fwww.marylandpublicschools.org%2Fprograms%2FDocuments%2FCTE%2FCTE%2520Programs%2520of%2520Study%2FCD_ConstrMaint_POS_2016A.docx&amp;usg=AOvVaw1HvtPE-W4wY-TBPp9gBrMW" TargetMode="External"/><Relationship Id="rId25" Type="http://schemas.openxmlformats.org/officeDocument/2006/relationships/hyperlink" Target="https://www2.ed.gov/admins/lead/account/stateplan17/riconsolidatedstateplan.pdf" TargetMode="External"/><Relationship Id="rId33" Type="http://schemas.openxmlformats.org/officeDocument/2006/relationships/hyperlink" Target="http://www.minnstate.edu/system/cte/consortium_resources/documents/Perkins%20IV%20Operational%20Handbook%20for%20FY18%20Version%209%20Final%20for%20web.pdf" TargetMode="External"/><Relationship Id="rId38" Type="http://schemas.openxmlformats.org/officeDocument/2006/relationships/hyperlink" Target="https://www.doe.k12.de.us/cms/lib/DE01922744/Centricity/Domain/384/POS_Application_Template_2017.docx" TargetMode="External"/><Relationship Id="rId46" Type="http://schemas.openxmlformats.org/officeDocument/2006/relationships/hyperlink" Target="http://www.gadoe.org/Curriculum-Instruction-and-Assessment/CTAE/Pages/cluster-pathway-courses.aspx" TargetMode="External"/><Relationship Id="rId59" Type="http://schemas.openxmlformats.org/officeDocument/2006/relationships/hyperlink" Target="https://cte.careertech.org/sites/default/files/Program%20Approval%20Policy%20Benchmark%20Tool_Section%20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es.ed.gov/ncee/wwc/Docs/InterventionReports/wwc_dual_enrollment_022817.pdf" TargetMode="External"/><Relationship Id="rId2" Type="http://schemas.openxmlformats.org/officeDocument/2006/relationships/hyperlink" Target="https://careertech.org/resource/mapping-career-readiness-essa-full" TargetMode="External"/><Relationship Id="rId1" Type="http://schemas.openxmlformats.org/officeDocument/2006/relationships/hyperlink" Target="http://s3.amazonaws.com/PCRN/docs/perkins_iv.pdf" TargetMode="External"/><Relationship Id="rId4" Type="http://schemas.openxmlformats.org/officeDocument/2006/relationships/hyperlink" Target="https://careertech.org/resources/state-cte-standard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a:effectLst/>
              </a:rPr>
              <a:t>Percent of programs of study aligned across secondary and postsecondary</a:t>
            </a:r>
            <a:endParaRPr lang="en-US" sz="1200">
              <a:effectLst/>
            </a:endParaRPr>
          </a:p>
        </c:rich>
      </c:tx>
      <c:layout>
        <c:manualLayout>
          <c:xMode val="edge"/>
          <c:yMode val="edge"/>
          <c:x val="0.1765286855482934"/>
          <c:y val="0"/>
        </c:manualLayout>
      </c:layout>
      <c:overlay val="0"/>
    </c:title>
    <c:autoTitleDeleted val="0"/>
    <c:plotArea>
      <c:layout>
        <c:manualLayout>
          <c:layoutTarget val="inner"/>
          <c:xMode val="edge"/>
          <c:yMode val="edge"/>
          <c:x val="0.13439601095614701"/>
          <c:y val="0.27603603603603599"/>
          <c:w val="0.81892279804893597"/>
          <c:h val="0.46265446548911099"/>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0-25%</c:v>
                </c:pt>
                <c:pt idx="1">
                  <c:v>26-50%</c:v>
                </c:pt>
                <c:pt idx="2">
                  <c:v>51-75%</c:v>
                </c:pt>
                <c:pt idx="3">
                  <c:v>76-99%</c:v>
                </c:pt>
                <c:pt idx="4">
                  <c:v>100%</c:v>
                </c:pt>
              </c:strCache>
            </c:strRef>
          </c:cat>
          <c:val>
            <c:numRef>
              <c:f>Sheet1!$B$2:$B$6</c:f>
              <c:numCache>
                <c:formatCode>General</c:formatCode>
                <c:ptCount val="5"/>
                <c:pt idx="0">
                  <c:v>6</c:v>
                </c:pt>
                <c:pt idx="1">
                  <c:v>5</c:v>
                </c:pt>
                <c:pt idx="2">
                  <c:v>14</c:v>
                </c:pt>
                <c:pt idx="3">
                  <c:v>14</c:v>
                </c:pt>
                <c:pt idx="4">
                  <c:v>13</c:v>
                </c:pt>
              </c:numCache>
            </c:numRef>
          </c:val>
          <c:extLst xmlns:c16r2="http://schemas.microsoft.com/office/drawing/2015/06/chart">
            <c:ext xmlns:c16="http://schemas.microsoft.com/office/drawing/2014/chart" uri="{C3380CC4-5D6E-409C-BE32-E72D297353CC}">
              <c16:uniqueId val="{00000000-1606-4B75-8E69-55E8EBA98BCF}"/>
            </c:ext>
          </c:extLst>
        </c:ser>
        <c:dLbls>
          <c:showLegendKey val="0"/>
          <c:showVal val="0"/>
          <c:showCatName val="0"/>
          <c:showSerName val="0"/>
          <c:showPercent val="0"/>
          <c:showBubbleSize val="0"/>
        </c:dLbls>
        <c:gapWidth val="269"/>
        <c:axId val="554649352"/>
        <c:axId val="554647000"/>
      </c:barChart>
      <c:catAx>
        <c:axId val="5546493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54647000"/>
        <c:crosses val="autoZero"/>
        <c:auto val="1"/>
        <c:lblAlgn val="ctr"/>
        <c:lblOffset val="100"/>
        <c:noMultiLvlLbl val="0"/>
      </c:catAx>
      <c:valAx>
        <c:axId val="554647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 of States</a:t>
                </a:r>
              </a:p>
            </c:rich>
          </c:tx>
          <c:layout>
            <c:manualLayout>
              <c:xMode val="edge"/>
              <c:yMode val="edge"/>
              <c:x val="0.471736686508958"/>
              <c:y val="0.85437809463006298"/>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554649352"/>
        <c:crosses val="autoZero"/>
        <c:crossBetween val="between"/>
      </c:valAx>
      <c:spPr>
        <a:noFill/>
        <a:ln>
          <a:noFill/>
        </a:ln>
        <a:effectLst/>
      </c:spPr>
    </c:plotArea>
    <c:plotVisOnly val="1"/>
    <c:dispBlanksAs val="gap"/>
    <c:showDLblsOverMax val="0"/>
  </c:chart>
  <c:spPr>
    <a:noFill/>
    <a:ln>
      <a:noFill/>
    </a:ln>
    <a:effectLst/>
  </c:spPr>
  <c:txPr>
    <a:bodyPr/>
    <a:lstStyle/>
    <a:p>
      <a:pPr>
        <a:defRPr sz="10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a:effectLst/>
              </a:rPr>
              <a:t>Percent of programs of study aligned across secondary and postsecondary</a:t>
            </a:r>
            <a:endParaRPr lang="en-US" sz="1200">
              <a:effectLst/>
            </a:endParaRPr>
          </a:p>
        </c:rich>
      </c:tx>
      <c:layout>
        <c:manualLayout>
          <c:xMode val="edge"/>
          <c:yMode val="edge"/>
          <c:x val="0.1765286855482934"/>
          <c:y val="0"/>
        </c:manualLayout>
      </c:layout>
      <c:overlay val="0"/>
    </c:title>
    <c:autoTitleDeleted val="0"/>
    <c:plotArea>
      <c:layout>
        <c:manualLayout>
          <c:layoutTarget val="inner"/>
          <c:xMode val="edge"/>
          <c:yMode val="edge"/>
          <c:x val="0.13439601095614701"/>
          <c:y val="0.27603603603603599"/>
          <c:w val="0.81892279804893597"/>
          <c:h val="0.46265446548911099"/>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0-25%</c:v>
                </c:pt>
                <c:pt idx="1">
                  <c:v>26-50%</c:v>
                </c:pt>
                <c:pt idx="2">
                  <c:v>51-75%</c:v>
                </c:pt>
                <c:pt idx="3">
                  <c:v>76-99%</c:v>
                </c:pt>
                <c:pt idx="4">
                  <c:v>100%</c:v>
                </c:pt>
              </c:strCache>
            </c:strRef>
          </c:cat>
          <c:val>
            <c:numRef>
              <c:f>Sheet1!$B$2:$B$6</c:f>
              <c:numCache>
                <c:formatCode>General</c:formatCode>
                <c:ptCount val="5"/>
                <c:pt idx="0">
                  <c:v>6</c:v>
                </c:pt>
                <c:pt idx="1">
                  <c:v>5</c:v>
                </c:pt>
                <c:pt idx="2">
                  <c:v>14</c:v>
                </c:pt>
                <c:pt idx="3">
                  <c:v>14</c:v>
                </c:pt>
                <c:pt idx="4">
                  <c:v>13</c:v>
                </c:pt>
              </c:numCache>
            </c:numRef>
          </c:val>
          <c:extLst xmlns:c16r2="http://schemas.microsoft.com/office/drawing/2015/06/chart">
            <c:ext xmlns:c16="http://schemas.microsoft.com/office/drawing/2014/chart" uri="{C3380CC4-5D6E-409C-BE32-E72D297353CC}">
              <c16:uniqueId val="{00000000-1606-4B75-8E69-55E8EBA98BCF}"/>
            </c:ext>
          </c:extLst>
        </c:ser>
        <c:dLbls>
          <c:showLegendKey val="0"/>
          <c:showVal val="0"/>
          <c:showCatName val="0"/>
          <c:showSerName val="0"/>
          <c:showPercent val="0"/>
          <c:showBubbleSize val="0"/>
        </c:dLbls>
        <c:gapWidth val="269"/>
        <c:axId val="544918528"/>
        <c:axId val="544918920"/>
      </c:barChart>
      <c:catAx>
        <c:axId val="54491852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44918920"/>
        <c:crosses val="autoZero"/>
        <c:auto val="1"/>
        <c:lblAlgn val="ctr"/>
        <c:lblOffset val="100"/>
        <c:noMultiLvlLbl val="0"/>
      </c:catAx>
      <c:valAx>
        <c:axId val="544918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 of States</a:t>
                </a:r>
              </a:p>
            </c:rich>
          </c:tx>
          <c:layout>
            <c:manualLayout>
              <c:xMode val="edge"/>
              <c:yMode val="edge"/>
              <c:x val="0.471736686508958"/>
              <c:y val="0.85437809463006298"/>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544918528"/>
        <c:crosses val="autoZero"/>
        <c:crossBetween val="between"/>
      </c:valAx>
      <c:spPr>
        <a:noFill/>
        <a:ln>
          <a:noFill/>
        </a:ln>
        <a:effectLst/>
      </c:spPr>
    </c:plotArea>
    <c:plotVisOnly val="1"/>
    <c:dispBlanksAs val="gap"/>
    <c:showDLblsOverMax val="0"/>
  </c:chart>
  <c:spPr>
    <a:noFill/>
    <a:ln>
      <a:noFill/>
    </a:ln>
    <a:effectLst/>
  </c:spPr>
  <c:txPr>
    <a:bodyPr/>
    <a:lstStyle/>
    <a:p>
      <a:pPr>
        <a:defRPr sz="10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515A-535A-41EE-84FC-C15A4F2B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32</Pages>
  <Words>8488</Words>
  <Characters>48385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Andrea Z</cp:lastModifiedBy>
  <cp:revision>64</cp:revision>
  <cp:lastPrinted>2018-01-25T15:12:00Z</cp:lastPrinted>
  <dcterms:created xsi:type="dcterms:W3CDTF">2018-01-15T20:25:00Z</dcterms:created>
  <dcterms:modified xsi:type="dcterms:W3CDTF">2018-01-25T15:13:00Z</dcterms:modified>
</cp:coreProperties>
</file>