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6F65" w14:textId="77777777" w:rsidR="00BE2842" w:rsidRPr="002A4684" w:rsidRDefault="002A4684" w:rsidP="00B10DE6">
      <w:pPr>
        <w:pStyle w:val="Title"/>
        <w:spacing w:after="0"/>
      </w:pPr>
      <w:r w:rsidRPr="002A4684">
        <w:rPr>
          <w:i/>
        </w:rPr>
        <w:t>New Skills ready network</w:t>
      </w:r>
      <w:r>
        <w:br/>
      </w:r>
      <w:r w:rsidR="00B10DE6">
        <w:t>Definitions of Key Equity Concepts</w:t>
      </w:r>
    </w:p>
    <w:p w14:paraId="66135154" w14:textId="77777777" w:rsidR="00B10DE6" w:rsidRDefault="00B10DE6" w:rsidP="00B10DE6">
      <w:pPr>
        <w:spacing w:after="0"/>
      </w:pPr>
    </w:p>
    <w:p w14:paraId="0E23E2FA" w14:textId="77777777" w:rsidR="00B10DE6" w:rsidRDefault="00B10DE6" w:rsidP="00B10DE6">
      <w:pPr>
        <w:spacing w:after="0" w:line="240" w:lineRule="auto"/>
      </w:pPr>
      <w:r w:rsidRPr="00B10DE6">
        <w:rPr>
          <w:b/>
        </w:rPr>
        <w:t>Access</w:t>
      </w:r>
      <w:r>
        <w:t xml:space="preserve"> – Access refers to ways in which educational institutions and policies ensure that learners have equitable opportunities to participate in and take full advantage of their education. Access depends on factors such as geography, resources, academic preparation and awareness.</w:t>
      </w:r>
    </w:p>
    <w:p w14:paraId="11C75409" w14:textId="77777777" w:rsidR="00B10DE6" w:rsidRDefault="00B10DE6" w:rsidP="00B10DE6">
      <w:pPr>
        <w:spacing w:after="0" w:line="240" w:lineRule="auto"/>
      </w:pPr>
    </w:p>
    <w:p w14:paraId="26EF8E20" w14:textId="77777777" w:rsidR="00B10DE6" w:rsidRDefault="00B10DE6" w:rsidP="00B10DE6">
      <w:pPr>
        <w:spacing w:after="0" w:line="240" w:lineRule="auto"/>
      </w:pPr>
      <w:r w:rsidRPr="00B10DE6">
        <w:rPr>
          <w:b/>
        </w:rPr>
        <w:t>Diversity</w:t>
      </w:r>
      <w:r>
        <w:t xml:space="preserve"> – Representation; composition. A wide range of qualities and attributes within a person, group or community. When we celebrate diversity, communities and workplaces become richer, drawing upon the variety of experiences, perspectives and skills that people can contribute.</w:t>
      </w:r>
      <w:r>
        <w:rPr>
          <w:vertAlign w:val="superscript"/>
        </w:rPr>
        <w:t>1</w:t>
      </w:r>
      <w:r>
        <w:t xml:space="preserve"> “Diversity” can address a variety of factors. </w:t>
      </w:r>
    </w:p>
    <w:p w14:paraId="4F2C2596" w14:textId="77777777" w:rsidR="00B10DE6" w:rsidRDefault="00B10DE6" w:rsidP="00B10DE6">
      <w:pPr>
        <w:spacing w:after="0" w:line="240" w:lineRule="auto"/>
      </w:pPr>
    </w:p>
    <w:p w14:paraId="6BAABBAA" w14:textId="77777777" w:rsidR="00B10DE6" w:rsidRDefault="00B10DE6" w:rsidP="00B10DE6">
      <w:pPr>
        <w:spacing w:after="0" w:line="240" w:lineRule="auto"/>
      </w:pPr>
      <w:r w:rsidRPr="00B10DE6">
        <w:rPr>
          <w:b/>
        </w:rPr>
        <w:t>Equality</w:t>
      </w:r>
      <w:r>
        <w:t xml:space="preserve"> – An approach to distributing resources and opportunities proportionally without</w:t>
      </w:r>
    </w:p>
    <w:p w14:paraId="0FEE503D" w14:textId="77777777" w:rsidR="00B10DE6" w:rsidRDefault="00B10DE6" w:rsidP="00B10DE6">
      <w:pPr>
        <w:spacing w:after="0" w:line="240" w:lineRule="auto"/>
      </w:pPr>
      <w:r>
        <w:t>consideration of differences in needs.</w:t>
      </w:r>
    </w:p>
    <w:p w14:paraId="4488E1CB" w14:textId="77777777" w:rsidR="00B10DE6" w:rsidRDefault="00B10DE6" w:rsidP="00B10DE6">
      <w:pPr>
        <w:spacing w:after="0" w:line="240" w:lineRule="auto"/>
      </w:pPr>
    </w:p>
    <w:p w14:paraId="524AF3F9" w14:textId="77777777" w:rsidR="00B10DE6" w:rsidRDefault="00B10DE6" w:rsidP="00B10DE6">
      <w:pPr>
        <w:spacing w:after="0" w:line="240" w:lineRule="auto"/>
      </w:pPr>
      <w:r w:rsidRPr="00B10DE6">
        <w:rPr>
          <w:b/>
        </w:rPr>
        <w:t>Equity</w:t>
      </w:r>
      <w:r>
        <w:t xml:space="preserve"> – Fairness in outcomes; creating just outcomes; giving everyone what they need to be</w:t>
      </w:r>
    </w:p>
    <w:p w14:paraId="207E7F63" w14:textId="77777777" w:rsidR="00B10DE6" w:rsidRDefault="00B10DE6" w:rsidP="00B10DE6">
      <w:pPr>
        <w:spacing w:after="0" w:line="240" w:lineRule="auto"/>
      </w:pPr>
      <w:r>
        <w:t>successful. Acknowledging everyone’s unique situation and addressing historic and current-day</w:t>
      </w:r>
    </w:p>
    <w:p w14:paraId="2FE9A9F8" w14:textId="77777777" w:rsidR="00B10DE6" w:rsidRDefault="00B10DE6" w:rsidP="00B10DE6">
      <w:pPr>
        <w:spacing w:after="0" w:line="240" w:lineRule="auto"/>
      </w:pPr>
      <w:r>
        <w:t>systemic barriers. (Contrast with equality, where each individual is treated the same).</w:t>
      </w:r>
      <w:r>
        <w:rPr>
          <w:vertAlign w:val="superscript"/>
        </w:rPr>
        <w:t>2</w:t>
      </w:r>
    </w:p>
    <w:p w14:paraId="322A60FE" w14:textId="77777777" w:rsidR="00B10DE6" w:rsidRDefault="00B10DE6" w:rsidP="00B10DE6">
      <w:pPr>
        <w:spacing w:after="0" w:line="240" w:lineRule="auto"/>
      </w:pPr>
    </w:p>
    <w:p w14:paraId="1ED7B835" w14:textId="77777777" w:rsidR="00B10DE6" w:rsidRDefault="00B10DE6" w:rsidP="00B10DE6">
      <w:pPr>
        <w:spacing w:after="0" w:line="240" w:lineRule="auto"/>
      </w:pPr>
      <w:r w:rsidRPr="00B10DE6">
        <w:rPr>
          <w:b/>
        </w:rPr>
        <w:t>Implicit Bias</w:t>
      </w:r>
      <w:r>
        <w:t xml:space="preserve"> (Interchangeable with Unconscious Bias) – Attitudes or stereotypes that affect our understanding, actions and decisions in an unconscious manner. These biases, which encompass both favorable and unfavorable assessments, are activated involuntarily and without an individual’s awareness or intentional control.</w:t>
      </w:r>
      <w:r>
        <w:rPr>
          <w:vertAlign w:val="superscript"/>
        </w:rPr>
        <w:t>3</w:t>
      </w:r>
    </w:p>
    <w:p w14:paraId="54C28B1D" w14:textId="77777777" w:rsidR="00B10DE6" w:rsidRDefault="00B10DE6" w:rsidP="00B10DE6">
      <w:pPr>
        <w:spacing w:after="0" w:line="240" w:lineRule="auto"/>
      </w:pPr>
    </w:p>
    <w:p w14:paraId="465FCAC6" w14:textId="77777777" w:rsidR="00B10DE6" w:rsidRDefault="00B10DE6" w:rsidP="00B10DE6">
      <w:pPr>
        <w:spacing w:after="0" w:line="240" w:lineRule="auto"/>
      </w:pPr>
      <w:r w:rsidRPr="00B10DE6">
        <w:rPr>
          <w:b/>
        </w:rPr>
        <w:t>Inclusion</w:t>
      </w:r>
      <w:r>
        <w:t xml:space="preserve"> – Acknowledging and valuing people’s differences so as to enrich or shift social planning, decision making and quality of life for everyone. In an inclusive society, we all have a sense of belonging, acceptance and recognition as valued and contributing members of society.</w:t>
      </w:r>
      <w:r>
        <w:rPr>
          <w:vertAlign w:val="superscript"/>
        </w:rPr>
        <w:t>4</w:t>
      </w:r>
    </w:p>
    <w:p w14:paraId="63F2F5B4" w14:textId="77777777" w:rsidR="00B10DE6" w:rsidRDefault="00B10DE6" w:rsidP="00B10DE6">
      <w:pPr>
        <w:spacing w:after="0" w:line="240" w:lineRule="auto"/>
      </w:pPr>
    </w:p>
    <w:p w14:paraId="7AC8EA2E" w14:textId="77777777" w:rsidR="00B10DE6" w:rsidRDefault="00B10DE6" w:rsidP="00B10DE6">
      <w:pPr>
        <w:spacing w:after="0" w:line="240" w:lineRule="auto"/>
      </w:pPr>
      <w:r w:rsidRPr="00B10DE6">
        <w:rPr>
          <w:b/>
        </w:rPr>
        <w:t>Opportunity Gap</w:t>
      </w:r>
      <w:r>
        <w:t xml:space="preserve"> – An observable disparity in access and/or outcomes for a specific subgroup or</w:t>
      </w:r>
    </w:p>
    <w:p w14:paraId="08CCE737" w14:textId="77777777" w:rsidR="00B10DE6" w:rsidRDefault="00B10DE6" w:rsidP="00B10DE6">
      <w:pPr>
        <w:spacing w:after="0" w:line="240" w:lineRule="auto"/>
      </w:pPr>
      <w:r>
        <w:t>special population. These gaps are due to systemic inequities, implicit biases, stereotypes and</w:t>
      </w:r>
    </w:p>
    <w:p w14:paraId="37CEF03D" w14:textId="77777777" w:rsidR="00B10DE6" w:rsidRDefault="00B10DE6" w:rsidP="00B10DE6">
      <w:pPr>
        <w:spacing w:after="0" w:line="240" w:lineRule="auto"/>
      </w:pPr>
      <w:r>
        <w:t>outright discrimination based on group identities.</w:t>
      </w:r>
    </w:p>
    <w:p w14:paraId="18E32409" w14:textId="77777777" w:rsidR="00B10DE6" w:rsidRDefault="00B10DE6" w:rsidP="00B10DE6">
      <w:pPr>
        <w:spacing w:after="0" w:line="240" w:lineRule="auto"/>
      </w:pPr>
    </w:p>
    <w:p w14:paraId="5CEA38DF" w14:textId="77777777" w:rsidR="00B10DE6" w:rsidRDefault="00B10DE6" w:rsidP="00B10DE6">
      <w:pPr>
        <w:spacing w:after="0" w:line="240" w:lineRule="auto"/>
      </w:pPr>
      <w:r w:rsidRPr="00B10DE6">
        <w:rPr>
          <w:b/>
        </w:rPr>
        <w:t>Structural Racism</w:t>
      </w:r>
      <w:r>
        <w:t xml:space="preserve"> – A system in which public policies, institutional practices, cultural representations, and other norms work in various, often reinforcing ways to perpetuate racial group inequity. It identifies dimensions of our history and culture that have allowed privileges associated with “whiteness” and disadvantages associated with “color” to endure and adapt over time. Structural racism is not something that a few people or institutions choose to practice. Instead it has been a feature of the social, economic and political systems in which we all exist.</w:t>
      </w:r>
      <w:r>
        <w:rPr>
          <w:vertAlign w:val="superscript"/>
        </w:rPr>
        <w:t>5</w:t>
      </w:r>
    </w:p>
    <w:p w14:paraId="2094A76B" w14:textId="77777777" w:rsidR="00B10DE6" w:rsidRDefault="00B10DE6" w:rsidP="00B10DE6">
      <w:pPr>
        <w:spacing w:after="0" w:line="240" w:lineRule="auto"/>
      </w:pPr>
    </w:p>
    <w:p w14:paraId="01E776A3" w14:textId="77777777" w:rsidR="00B10DE6" w:rsidRPr="00B10DE6" w:rsidRDefault="00B10DE6" w:rsidP="00B10DE6">
      <w:pPr>
        <w:spacing w:after="0" w:line="240" w:lineRule="auto"/>
        <w:rPr>
          <w:vertAlign w:val="superscript"/>
        </w:rPr>
      </w:pPr>
      <w:r w:rsidRPr="00B10DE6">
        <w:rPr>
          <w:b/>
        </w:rPr>
        <w:t>Systemic Racism</w:t>
      </w:r>
      <w:r>
        <w:t xml:space="preserve"> – In many ways “systemic racism” and “structural racism” are synonymous. If there is a difference between the terms, it can be said to exist in the fact that a structural racism analysis pays more attention to the historical, cultural and social psychological aspects of our currently racialized society.</w:t>
      </w:r>
      <w:r>
        <w:rPr>
          <w:vertAlign w:val="superscript"/>
        </w:rPr>
        <w:t>5</w:t>
      </w:r>
    </w:p>
    <w:p w14:paraId="27BEF8A0" w14:textId="77777777" w:rsidR="00B10DE6" w:rsidRDefault="00B10DE6" w:rsidP="00B10DE6">
      <w:pPr>
        <w:spacing w:after="0"/>
        <w:rPr>
          <w:vertAlign w:val="superscript"/>
        </w:rPr>
      </w:pPr>
      <w:r>
        <w:rPr>
          <w:vertAlign w:val="superscript"/>
        </w:rPr>
        <w:t>_____________________________________</w:t>
      </w:r>
    </w:p>
    <w:p w14:paraId="6454C873" w14:textId="77777777" w:rsidR="00B10DE6" w:rsidRPr="00B10DE6" w:rsidRDefault="00B10DE6" w:rsidP="00B10DE6">
      <w:pPr>
        <w:spacing w:after="0"/>
        <w:rPr>
          <w:sz w:val="20"/>
          <w:szCs w:val="20"/>
        </w:rPr>
      </w:pPr>
      <w:r w:rsidRPr="00B10DE6">
        <w:rPr>
          <w:sz w:val="20"/>
          <w:szCs w:val="20"/>
          <w:vertAlign w:val="superscript"/>
        </w:rPr>
        <w:t xml:space="preserve">1 </w:t>
      </w:r>
      <w:hyperlink r:id="rId10">
        <w:r w:rsidRPr="00B10DE6">
          <w:rPr>
            <w:color w:val="1155CC"/>
            <w:sz w:val="20"/>
            <w:szCs w:val="20"/>
            <w:u w:val="single"/>
          </w:rPr>
          <w:t>https://nonprofitoregon.org/sites/default/files/NAO-Equity-Lens-Guide-2019.pdf</w:t>
        </w:r>
      </w:hyperlink>
      <w:r w:rsidRPr="00B10DE6">
        <w:rPr>
          <w:sz w:val="20"/>
          <w:szCs w:val="20"/>
        </w:rPr>
        <w:t xml:space="preserve"> </w:t>
      </w:r>
    </w:p>
    <w:p w14:paraId="239AC8B5" w14:textId="77777777" w:rsidR="00B10DE6" w:rsidRPr="00B10DE6" w:rsidRDefault="00B10DE6" w:rsidP="00B10DE6">
      <w:pPr>
        <w:spacing w:after="0"/>
        <w:rPr>
          <w:sz w:val="20"/>
          <w:szCs w:val="20"/>
        </w:rPr>
      </w:pPr>
      <w:r w:rsidRPr="00B10DE6">
        <w:rPr>
          <w:sz w:val="20"/>
          <w:szCs w:val="20"/>
          <w:vertAlign w:val="superscript"/>
        </w:rPr>
        <w:t xml:space="preserve">2 </w:t>
      </w:r>
      <w:hyperlink r:id="rId11">
        <w:r w:rsidRPr="00B10DE6">
          <w:rPr>
            <w:color w:val="1155CC"/>
            <w:sz w:val="20"/>
            <w:szCs w:val="20"/>
            <w:u w:val="single"/>
          </w:rPr>
          <w:t>https://www.shorter-goodenconsulting.com/</w:t>
        </w:r>
      </w:hyperlink>
      <w:r w:rsidRPr="00B10DE6">
        <w:rPr>
          <w:sz w:val="20"/>
          <w:szCs w:val="20"/>
        </w:rPr>
        <w:t xml:space="preserve"> </w:t>
      </w:r>
    </w:p>
    <w:p w14:paraId="041294EF" w14:textId="77777777" w:rsidR="00B10DE6" w:rsidRPr="00B10DE6" w:rsidRDefault="00B10DE6" w:rsidP="00B10DE6">
      <w:pPr>
        <w:spacing w:after="0"/>
        <w:rPr>
          <w:sz w:val="20"/>
          <w:szCs w:val="20"/>
        </w:rPr>
      </w:pPr>
      <w:r w:rsidRPr="00B10DE6">
        <w:rPr>
          <w:sz w:val="20"/>
          <w:szCs w:val="20"/>
          <w:vertAlign w:val="superscript"/>
        </w:rPr>
        <w:t>3</w:t>
      </w:r>
      <w:r w:rsidRPr="00B10DE6">
        <w:rPr>
          <w:sz w:val="20"/>
          <w:szCs w:val="20"/>
        </w:rPr>
        <w:t xml:space="preserve"> </w:t>
      </w:r>
      <w:hyperlink r:id="rId12">
        <w:r w:rsidRPr="00B10DE6">
          <w:rPr>
            <w:color w:val="1155CC"/>
            <w:sz w:val="20"/>
            <w:szCs w:val="20"/>
            <w:u w:val="single"/>
          </w:rPr>
          <w:t>http://kirwaninstitute.osu.edu/research/understanding-implicit-bias/</w:t>
        </w:r>
      </w:hyperlink>
      <w:r w:rsidRPr="00B10DE6">
        <w:rPr>
          <w:sz w:val="20"/>
          <w:szCs w:val="20"/>
        </w:rPr>
        <w:t xml:space="preserve"> </w:t>
      </w:r>
    </w:p>
    <w:p w14:paraId="57E84BBF" w14:textId="77777777" w:rsidR="00B10DE6" w:rsidRPr="00B10DE6" w:rsidRDefault="00B10DE6" w:rsidP="00B10DE6">
      <w:pPr>
        <w:spacing w:after="0"/>
        <w:rPr>
          <w:sz w:val="20"/>
          <w:szCs w:val="20"/>
        </w:rPr>
      </w:pPr>
      <w:r w:rsidRPr="00B10DE6">
        <w:rPr>
          <w:sz w:val="20"/>
          <w:szCs w:val="20"/>
          <w:vertAlign w:val="superscript"/>
        </w:rPr>
        <w:t>4</w:t>
      </w:r>
      <w:r w:rsidRPr="00B10DE6">
        <w:rPr>
          <w:sz w:val="20"/>
          <w:szCs w:val="20"/>
        </w:rPr>
        <w:t xml:space="preserve"> </w:t>
      </w:r>
      <w:hyperlink r:id="rId13">
        <w:r w:rsidRPr="00B10DE6">
          <w:rPr>
            <w:color w:val="1155CC"/>
            <w:sz w:val="20"/>
            <w:szCs w:val="20"/>
            <w:u w:val="single"/>
          </w:rPr>
          <w:t>https://nonprofitoregon.org/sites/default/files/NAO-Equity-Lens-Guide-2019.pdf</w:t>
        </w:r>
      </w:hyperlink>
      <w:r w:rsidRPr="00B10DE6">
        <w:rPr>
          <w:sz w:val="20"/>
          <w:szCs w:val="20"/>
        </w:rPr>
        <w:t xml:space="preserve"> </w:t>
      </w:r>
    </w:p>
    <w:p w14:paraId="05AEBDB3" w14:textId="77777777" w:rsidR="00B10DE6" w:rsidRPr="00B10DE6" w:rsidRDefault="00B10DE6" w:rsidP="00B10DE6">
      <w:pPr>
        <w:spacing w:after="0"/>
        <w:rPr>
          <w:sz w:val="20"/>
          <w:szCs w:val="20"/>
        </w:rPr>
      </w:pPr>
      <w:r w:rsidRPr="00B10DE6">
        <w:rPr>
          <w:sz w:val="20"/>
          <w:szCs w:val="20"/>
          <w:vertAlign w:val="superscript"/>
        </w:rPr>
        <w:t>5</w:t>
      </w:r>
      <w:r w:rsidRPr="00B10DE6">
        <w:rPr>
          <w:sz w:val="20"/>
          <w:szCs w:val="20"/>
        </w:rPr>
        <w:t xml:space="preserve"> </w:t>
      </w:r>
      <w:hyperlink r:id="rId14">
        <w:r w:rsidRPr="00B10DE6">
          <w:rPr>
            <w:color w:val="1155CC"/>
            <w:sz w:val="20"/>
            <w:szCs w:val="20"/>
            <w:u w:val="single"/>
          </w:rPr>
          <w:t>https://www.aspeninstitute.org/blog-posts/structural-racism-definition/</w:t>
        </w:r>
      </w:hyperlink>
      <w:r w:rsidRPr="00B10DE6">
        <w:rPr>
          <w:sz w:val="20"/>
          <w:szCs w:val="20"/>
        </w:rPr>
        <w:t xml:space="preserve"> </w:t>
      </w:r>
    </w:p>
    <w:p w14:paraId="1BB0314E" w14:textId="77777777" w:rsidR="00E13AE2" w:rsidRPr="0047697A" w:rsidRDefault="008279BC" w:rsidP="00B10DE6">
      <w:pPr>
        <w:spacing w:after="0"/>
      </w:pPr>
    </w:p>
    <w:sectPr w:rsidR="00E13AE2" w:rsidRPr="0047697A" w:rsidSect="00BE2842">
      <w:headerReference w:type="default" r:id="rId15"/>
      <w:footerReference w:type="default" r:id="rId16"/>
      <w:pgSz w:w="12240" w:h="15840"/>
      <w:pgMar w:top="1584"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EE4F" w14:textId="77777777" w:rsidR="008279BC" w:rsidRDefault="008279BC" w:rsidP="0047697A">
      <w:r>
        <w:separator/>
      </w:r>
    </w:p>
  </w:endnote>
  <w:endnote w:type="continuationSeparator" w:id="0">
    <w:p w14:paraId="18270019" w14:textId="77777777" w:rsidR="008279BC" w:rsidRDefault="008279BC" w:rsidP="0047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1D60" w14:textId="77777777" w:rsidR="002A4684" w:rsidRPr="00894306" w:rsidRDefault="00DF48E4">
    <w:pPr>
      <w:pStyle w:val="Footer"/>
      <w:rPr>
        <w:sz w:val="20"/>
        <w:szCs w:val="20"/>
      </w:rPr>
    </w:pPr>
    <w:r w:rsidRPr="00894306">
      <w:rPr>
        <w:sz w:val="20"/>
        <w:szCs w:val="20"/>
      </w:rPr>
      <w:t>#NewSkillsReady</w:t>
    </w:r>
    <w:r w:rsidRPr="00894306">
      <w:rPr>
        <w:sz w:val="20"/>
        <w:szCs w:val="20"/>
      </w:rPr>
      <w:ptab w:relativeTo="margin" w:alignment="center" w:leader="none"/>
    </w:r>
    <w:r w:rsidRPr="00894306">
      <w:rPr>
        <w:sz w:val="20"/>
        <w:szCs w:val="20"/>
      </w:rPr>
      <w:fldChar w:fldCharType="begin"/>
    </w:r>
    <w:r w:rsidRPr="00894306">
      <w:rPr>
        <w:sz w:val="20"/>
        <w:szCs w:val="20"/>
      </w:rPr>
      <w:instrText xml:space="preserve"> PAGE   \* MERGEFORMAT </w:instrText>
    </w:r>
    <w:r w:rsidRPr="00894306">
      <w:rPr>
        <w:sz w:val="20"/>
        <w:szCs w:val="20"/>
      </w:rPr>
      <w:fldChar w:fldCharType="separate"/>
    </w:r>
    <w:r w:rsidR="00B10DE6">
      <w:rPr>
        <w:noProof/>
        <w:sz w:val="20"/>
        <w:szCs w:val="20"/>
      </w:rPr>
      <w:t>1</w:t>
    </w:r>
    <w:r w:rsidRPr="00894306">
      <w:rPr>
        <w:noProof/>
        <w:sz w:val="20"/>
        <w:szCs w:val="20"/>
      </w:rPr>
      <w:fldChar w:fldCharType="end"/>
    </w:r>
    <w:r w:rsidRPr="00894306">
      <w:rPr>
        <w:sz w:val="20"/>
        <w:szCs w:val="20"/>
      </w:rPr>
      <w:ptab w:relativeTo="margin" w:alignment="right" w:leader="none"/>
    </w:r>
    <w:hyperlink r:id="rId1" w:history="1">
      <w:r w:rsidR="00894306" w:rsidRPr="00894306">
        <w:rPr>
          <w:rStyle w:val="Hyperlink"/>
          <w:sz w:val="20"/>
          <w:szCs w:val="20"/>
        </w:rPr>
        <w:t>edstrategy.org</w:t>
      </w:r>
    </w:hyperlink>
    <w:r w:rsidR="00894306">
      <w:rPr>
        <w:sz w:val="20"/>
        <w:szCs w:val="20"/>
      </w:rPr>
      <w:t xml:space="preserve"> | </w:t>
    </w:r>
    <w:hyperlink r:id="rId2" w:history="1">
      <w:r w:rsidRPr="00894306">
        <w:rPr>
          <w:rStyle w:val="Hyperlink"/>
          <w:sz w:val="20"/>
          <w:szCs w:val="20"/>
        </w:rPr>
        <w:t>careertech.org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CD1B" w14:textId="77777777" w:rsidR="008279BC" w:rsidRDefault="008279BC" w:rsidP="0047697A">
      <w:r>
        <w:separator/>
      </w:r>
    </w:p>
  </w:footnote>
  <w:footnote w:type="continuationSeparator" w:id="0">
    <w:p w14:paraId="061D9B03" w14:textId="77777777" w:rsidR="008279BC" w:rsidRDefault="008279BC" w:rsidP="00476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4A27" w14:textId="77777777" w:rsidR="00BE2842" w:rsidRDefault="00894306" w:rsidP="0047697A">
    <w:pPr>
      <w:pStyle w:val="Header"/>
    </w:pPr>
    <w:r>
      <w:rPr>
        <w:noProof/>
      </w:rPr>
      <w:drawing>
        <wp:anchor distT="0" distB="0" distL="114300" distR="114300" simplePos="0" relativeHeight="251659264" behindDoc="0" locked="0" layoutInCell="1" allowOverlap="1" wp14:anchorId="70D35211" wp14:editId="76004584">
          <wp:simplePos x="0" y="0"/>
          <wp:positionH relativeFrom="column">
            <wp:posOffset>5135880</wp:posOffset>
          </wp:positionH>
          <wp:positionV relativeFrom="paragraph">
            <wp:posOffset>-171450</wp:posOffset>
          </wp:positionV>
          <wp:extent cx="1466850" cy="304165"/>
          <wp:effectExtent l="0" t="0" r="0" b="635"/>
          <wp:wrapNone/>
          <wp:docPr id="7" name="Picture 0" descr="Advance C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descr="Advance CTE Logo.jpg"/>
                  <pic:cNvPicPr>
                    <a:picLocks noChangeAspect="1"/>
                  </pic:cNvPicPr>
                </pic:nvPicPr>
                <pic:blipFill>
                  <a:blip r:embed="rId1"/>
                  <a:stretch>
                    <a:fillRect/>
                  </a:stretch>
                </pic:blipFill>
                <pic:spPr>
                  <a:xfrm>
                    <a:off x="0" y="0"/>
                    <a:ext cx="1466850" cy="304165"/>
                  </a:xfrm>
                  <a:prstGeom prst="rect">
                    <a:avLst/>
                  </a:prstGeom>
                </pic:spPr>
              </pic:pic>
            </a:graphicData>
          </a:graphic>
        </wp:anchor>
      </w:drawing>
    </w:r>
    <w:r>
      <w:rPr>
        <w:noProof/>
      </w:rPr>
      <w:drawing>
        <wp:anchor distT="0" distB="0" distL="114300" distR="114300" simplePos="0" relativeHeight="251661312" behindDoc="0" locked="0" layoutInCell="1" allowOverlap="1" wp14:anchorId="0377D62A" wp14:editId="275FAA74">
          <wp:simplePos x="0" y="0"/>
          <wp:positionH relativeFrom="margin">
            <wp:align>center</wp:align>
          </wp:positionH>
          <wp:positionV relativeFrom="paragraph">
            <wp:posOffset>57150</wp:posOffset>
          </wp:positionV>
          <wp:extent cx="3333750" cy="228600"/>
          <wp:effectExtent l="0" t="0" r="0" b="0"/>
          <wp:wrapNone/>
          <wp:docPr id="9" name="Picture 9" descr="JPMorgan Chase and 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PMorgan Chase and Co.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0" cy="2286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1C1AE987" wp14:editId="4F7D9B29">
          <wp:simplePos x="0" y="0"/>
          <wp:positionH relativeFrom="column">
            <wp:posOffset>-131445</wp:posOffset>
          </wp:positionH>
          <wp:positionV relativeFrom="paragraph">
            <wp:posOffset>-228600</wp:posOffset>
          </wp:positionV>
          <wp:extent cx="1247775" cy="470535"/>
          <wp:effectExtent l="0" t="0" r="9525" b="5715"/>
          <wp:wrapNone/>
          <wp:docPr id="8" name="Picture 2" descr="ESG_BRANDING_LOGO_FINAL-RGB_icon+name_color-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ESG_BRANDING_LOGO_FINAL-RGB_icon+name_color-pos.jpg"/>
                  <pic:cNvPicPr>
                    <a:picLocks noChangeAspect="1"/>
                  </pic:cNvPicPr>
                </pic:nvPicPr>
                <pic:blipFill>
                  <a:blip r:embed="rId3">
                    <a:extLst>
                      <a:ext uri="{28A0092B-C50C-407E-A947-70E740481C1C}">
                        <a14:useLocalDpi xmlns:a14="http://schemas.microsoft.com/office/drawing/2010/main" val="0"/>
                      </a:ext>
                    </a:extLst>
                  </a:blip>
                  <a:srcRect l="12989" t="29285" r="15006" b="25714"/>
                  <a:stretch>
                    <a:fillRect/>
                  </a:stretch>
                </pic:blipFill>
                <pic:spPr>
                  <a:xfrm>
                    <a:off x="0" y="0"/>
                    <a:ext cx="1247775" cy="470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DFB"/>
    <w:multiLevelType w:val="hybridMultilevel"/>
    <w:tmpl w:val="A220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37256"/>
    <w:multiLevelType w:val="hybridMultilevel"/>
    <w:tmpl w:val="4368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64134"/>
    <w:multiLevelType w:val="hybridMultilevel"/>
    <w:tmpl w:val="70328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04C9B"/>
    <w:multiLevelType w:val="hybridMultilevel"/>
    <w:tmpl w:val="D9148C94"/>
    <w:lvl w:ilvl="0" w:tplc="F1DC2F1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0303B"/>
    <w:multiLevelType w:val="hybridMultilevel"/>
    <w:tmpl w:val="194E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E6381"/>
    <w:multiLevelType w:val="hybridMultilevel"/>
    <w:tmpl w:val="0BCE5110"/>
    <w:lvl w:ilvl="0" w:tplc="664600D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DE6"/>
    <w:rsid w:val="001D3779"/>
    <w:rsid w:val="002258EA"/>
    <w:rsid w:val="00263A6F"/>
    <w:rsid w:val="002A4684"/>
    <w:rsid w:val="0047697A"/>
    <w:rsid w:val="005E44B0"/>
    <w:rsid w:val="008279BC"/>
    <w:rsid w:val="00894306"/>
    <w:rsid w:val="008944D0"/>
    <w:rsid w:val="008970E3"/>
    <w:rsid w:val="00A47225"/>
    <w:rsid w:val="00AF2305"/>
    <w:rsid w:val="00B10DE6"/>
    <w:rsid w:val="00BE2842"/>
    <w:rsid w:val="00DF40A6"/>
    <w:rsid w:val="00DF48E4"/>
    <w:rsid w:val="00E6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FC227"/>
  <w15:chartTrackingRefBased/>
  <w15:docId w15:val="{063122BD-C461-4462-8514-6ACC3349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97A"/>
    <w:pPr>
      <w:spacing w:line="276" w:lineRule="auto"/>
    </w:pPr>
    <w:rPr>
      <w:rFonts w:ascii="Arial" w:hAnsi="Arial" w:cs="Arial"/>
    </w:rPr>
  </w:style>
  <w:style w:type="paragraph" w:styleId="Heading1">
    <w:name w:val="heading 1"/>
    <w:basedOn w:val="Normal"/>
    <w:next w:val="Normal"/>
    <w:link w:val="Heading1Char"/>
    <w:uiPriority w:val="9"/>
    <w:qFormat/>
    <w:rsid w:val="002A4684"/>
    <w:pPr>
      <w:spacing w:after="200"/>
      <w:outlineLvl w:val="0"/>
    </w:pPr>
    <w:rPr>
      <w:b/>
      <w:sz w:val="24"/>
    </w:rPr>
  </w:style>
  <w:style w:type="paragraph" w:styleId="Heading2">
    <w:name w:val="heading 2"/>
    <w:basedOn w:val="Normal"/>
    <w:next w:val="Normal"/>
    <w:link w:val="Heading2Char"/>
    <w:uiPriority w:val="9"/>
    <w:unhideWhenUsed/>
    <w:qFormat/>
    <w:rsid w:val="002A4684"/>
    <w:pPr>
      <w:outlineLvl w:val="1"/>
    </w:pPr>
    <w:rPr>
      <w:i/>
      <w:sz w:val="24"/>
    </w:rPr>
  </w:style>
  <w:style w:type="paragraph" w:styleId="Heading3">
    <w:name w:val="heading 3"/>
    <w:basedOn w:val="Normal"/>
    <w:next w:val="Normal"/>
    <w:link w:val="Heading3Char"/>
    <w:uiPriority w:val="9"/>
    <w:semiHidden/>
    <w:unhideWhenUsed/>
    <w:qFormat/>
    <w:rsid w:val="0047697A"/>
    <w:pPr>
      <w:keepNext/>
      <w:keepLines/>
      <w:spacing w:after="0"/>
      <w:outlineLvl w:val="2"/>
    </w:pPr>
    <w:rPr>
      <w:rFonts w:eastAsiaTheme="majorEastAsia"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tch All,Heading III,Bullet List,FooterText,List Paragraph1,numbered,Paragraphe de liste1,Bulletr List Paragraph,列出段落,列出段落1,Listeafsnit1,Parágrafo da Lista1,List Paragraph2,List Paragraph21,Párrafo de lista1,リスト段落1,Bullet list,Foot,リスト段落"/>
    <w:basedOn w:val="Normal"/>
    <w:link w:val="ListParagraphChar"/>
    <w:uiPriority w:val="34"/>
    <w:qFormat/>
    <w:rsid w:val="002A4684"/>
    <w:pPr>
      <w:numPr>
        <w:numId w:val="6"/>
      </w:numPr>
      <w:contextualSpacing/>
    </w:pPr>
  </w:style>
  <w:style w:type="character" w:styleId="Hyperlink">
    <w:name w:val="Hyperlink"/>
    <w:basedOn w:val="DefaultParagraphFont"/>
    <w:uiPriority w:val="99"/>
    <w:unhideWhenUsed/>
    <w:rsid w:val="00E65DF7"/>
    <w:rPr>
      <w:color w:val="0563C1" w:themeColor="hyperlink"/>
      <w:u w:val="single"/>
    </w:rPr>
  </w:style>
  <w:style w:type="character" w:customStyle="1" w:styleId="ListParagraphChar">
    <w:name w:val="List Paragraph Char"/>
    <w:aliases w:val="Catch All Char,Heading III Char,Bullet List Char,FooterText Char,List Paragraph1 Char,numbered Char,Paragraphe de liste1 Char,Bulletr List Paragraph Char,列出段落 Char,列出段落1 Char,Listeafsnit1 Char,Parágrafo da Lista1 Char,リスト段落1 Char"/>
    <w:basedOn w:val="DefaultParagraphFont"/>
    <w:link w:val="ListParagraph"/>
    <w:uiPriority w:val="34"/>
    <w:rsid w:val="002A4684"/>
    <w:rPr>
      <w:rFonts w:ascii="Arial" w:hAnsi="Arial" w:cs="Arial"/>
    </w:rPr>
  </w:style>
  <w:style w:type="paragraph" w:styleId="FootnoteText">
    <w:name w:val="footnote text"/>
    <w:basedOn w:val="Normal"/>
    <w:link w:val="FootnoteTextChar"/>
    <w:uiPriority w:val="99"/>
    <w:semiHidden/>
    <w:unhideWhenUsed/>
    <w:rsid w:val="00E65D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DF7"/>
    <w:rPr>
      <w:sz w:val="20"/>
      <w:szCs w:val="20"/>
    </w:rPr>
  </w:style>
  <w:style w:type="character" w:styleId="FootnoteReference">
    <w:name w:val="footnote reference"/>
    <w:basedOn w:val="DefaultParagraphFont"/>
    <w:uiPriority w:val="99"/>
    <w:semiHidden/>
    <w:unhideWhenUsed/>
    <w:rsid w:val="00E65DF7"/>
    <w:rPr>
      <w:vertAlign w:val="superscript"/>
    </w:rPr>
  </w:style>
  <w:style w:type="paragraph" w:styleId="Header">
    <w:name w:val="header"/>
    <w:basedOn w:val="Normal"/>
    <w:link w:val="HeaderChar"/>
    <w:uiPriority w:val="99"/>
    <w:unhideWhenUsed/>
    <w:rsid w:val="00BE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42"/>
  </w:style>
  <w:style w:type="paragraph" w:styleId="Footer">
    <w:name w:val="footer"/>
    <w:basedOn w:val="Normal"/>
    <w:link w:val="FooterChar"/>
    <w:uiPriority w:val="99"/>
    <w:unhideWhenUsed/>
    <w:rsid w:val="00BE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42"/>
  </w:style>
  <w:style w:type="character" w:customStyle="1" w:styleId="Heading1Char">
    <w:name w:val="Heading 1 Char"/>
    <w:basedOn w:val="DefaultParagraphFont"/>
    <w:link w:val="Heading1"/>
    <w:uiPriority w:val="9"/>
    <w:rsid w:val="002A4684"/>
    <w:rPr>
      <w:rFonts w:ascii="Arial" w:hAnsi="Arial" w:cs="Arial"/>
      <w:b/>
      <w:sz w:val="24"/>
    </w:rPr>
  </w:style>
  <w:style w:type="character" w:customStyle="1" w:styleId="Heading2Char">
    <w:name w:val="Heading 2 Char"/>
    <w:basedOn w:val="DefaultParagraphFont"/>
    <w:link w:val="Heading2"/>
    <w:uiPriority w:val="9"/>
    <w:rsid w:val="002A4684"/>
    <w:rPr>
      <w:rFonts w:ascii="Arial" w:hAnsi="Arial" w:cs="Arial"/>
      <w:i/>
      <w:sz w:val="24"/>
    </w:rPr>
  </w:style>
  <w:style w:type="paragraph" w:styleId="NormalWeb">
    <w:name w:val="Normal (Web)"/>
    <w:basedOn w:val="Normal"/>
    <w:uiPriority w:val="99"/>
    <w:semiHidden/>
    <w:unhideWhenUsed/>
    <w:rsid w:val="0047697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7697A"/>
    <w:pPr>
      <w:spacing w:after="240"/>
      <w:jc w:val="center"/>
    </w:pPr>
    <w:rPr>
      <w:b/>
      <w:sz w:val="28"/>
    </w:rPr>
  </w:style>
  <w:style w:type="character" w:customStyle="1" w:styleId="TitleChar">
    <w:name w:val="Title Char"/>
    <w:basedOn w:val="DefaultParagraphFont"/>
    <w:link w:val="Title"/>
    <w:uiPriority w:val="10"/>
    <w:rsid w:val="0047697A"/>
    <w:rPr>
      <w:rFonts w:ascii="Arial" w:hAnsi="Arial" w:cs="Arial"/>
      <w:b/>
      <w:sz w:val="28"/>
    </w:rPr>
  </w:style>
  <w:style w:type="paragraph" w:styleId="NoSpacing">
    <w:name w:val="No Spacing"/>
    <w:basedOn w:val="Normal"/>
    <w:uiPriority w:val="1"/>
    <w:qFormat/>
    <w:rsid w:val="0047697A"/>
    <w:pPr>
      <w:spacing w:after="0" w:line="240" w:lineRule="auto"/>
    </w:pPr>
  </w:style>
  <w:style w:type="character" w:customStyle="1" w:styleId="Heading3Char">
    <w:name w:val="Heading 3 Char"/>
    <w:basedOn w:val="DefaultParagraphFont"/>
    <w:link w:val="Heading3"/>
    <w:uiPriority w:val="9"/>
    <w:semiHidden/>
    <w:rsid w:val="0047697A"/>
    <w:rPr>
      <w:rFonts w:ascii="Arial" w:eastAsiaTheme="majorEastAsia" w:hAnsi="Arial" w:cstheme="majorBidi"/>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632299">
      <w:bodyDiv w:val="1"/>
      <w:marLeft w:val="0"/>
      <w:marRight w:val="0"/>
      <w:marTop w:val="0"/>
      <w:marBottom w:val="0"/>
      <w:divBdr>
        <w:top w:val="none" w:sz="0" w:space="0" w:color="auto"/>
        <w:left w:val="none" w:sz="0" w:space="0" w:color="auto"/>
        <w:bottom w:val="none" w:sz="0" w:space="0" w:color="auto"/>
        <w:right w:val="none" w:sz="0" w:space="0" w:color="auto"/>
      </w:divBdr>
    </w:div>
    <w:div w:id="20378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nprofitoregon.org/sites/default/files/NAO-Equity-Lens-Guide-2019.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kirwaninstitute.osu.edu/research/understanding-implicit-bi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orter-goodenconsulting.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nonprofitoregon.org/sites/default/files/NAO-Equity-Lens-Guide-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peninstitute.org/blog-posts/structural-racism-definitio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areertech.org/" TargetMode="External"/><Relationship Id="rId1" Type="http://schemas.openxmlformats.org/officeDocument/2006/relationships/hyperlink" Target="http://edstrategy.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Documents\Projects\1-New%20Skills%20ready%20network\Comms\New%20Skills%20tempora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778EAF6D55344B6E356ED3F0ACFCB" ma:contentTypeVersion="4" ma:contentTypeDescription="Create a new document." ma:contentTypeScope="" ma:versionID="423e05f465024b420a5cdad090c55da1">
  <xsd:schema xmlns:xsd="http://www.w3.org/2001/XMLSchema" xmlns:xs="http://www.w3.org/2001/XMLSchema" xmlns:p="http://schemas.microsoft.com/office/2006/metadata/properties" xmlns:ns2="b7ab7b93-e038-4ec6-9f19-36f84d5eff95" targetNamespace="http://schemas.microsoft.com/office/2006/metadata/properties" ma:root="true" ma:fieldsID="d25f3737af7d5a153f933dac79046e7d" ns2:_="">
    <xsd:import namespace="b7ab7b93-e038-4ec6-9f19-36f84d5eff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b7b93-e038-4ec6-9f19-36f84d5ef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51DD6-B1D0-45E7-B41C-C00421C641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7ED45D-7A5C-4B0E-BA8E-9356E57353CC}">
  <ds:schemaRefs>
    <ds:schemaRef ds:uri="http://schemas.microsoft.com/sharepoint/v3/contenttype/forms"/>
  </ds:schemaRefs>
</ds:datastoreItem>
</file>

<file path=customXml/itemProps3.xml><?xml version="1.0" encoding="utf-8"?>
<ds:datastoreItem xmlns:ds="http://schemas.openxmlformats.org/officeDocument/2006/customXml" ds:itemID="{0021E01F-A4E9-4887-895A-5BB341596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b7b93-e038-4ec6-9f19-36f84d5ef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Skills temporary template</Template>
  <TotalTime>1</TotalTime>
  <Pages>1</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Wills</dc:creator>
  <cp:keywords/>
  <dc:description/>
  <cp:lastModifiedBy>Kate</cp:lastModifiedBy>
  <cp:revision>2</cp:revision>
  <dcterms:created xsi:type="dcterms:W3CDTF">2021-12-16T15:18:00Z</dcterms:created>
  <dcterms:modified xsi:type="dcterms:W3CDTF">2021-12-16T15:18:00Z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0x010100C12778EAF6D55344B6E356ED3F0ACFCB</vt:lpwstr>
  </property>
</Properties>
</file>