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40DED" w:rsidRDefault="00240DED"/>
    <w:p w:rsidR="008037CA" w:rsidRDefault="008037CA" w:rsidP="008037CA">
      <w:pPr>
        <w:spacing w:after="0" w:line="240" w:lineRule="auto"/>
        <w:outlineLvl w:val="0"/>
        <w:rPr>
          <w:rFonts w:ascii="Myriad Pro SemiCond" w:eastAsia="Times New Roman" w:hAnsi="Myriad Pro SemiCond" w:cs="Times New Roman"/>
          <w:b/>
          <w:bCs/>
          <w:smallCaps/>
          <w:color w:val="59B1DE"/>
          <w:sz w:val="40"/>
          <w:szCs w:val="40"/>
        </w:rPr>
      </w:pPr>
    </w:p>
    <w:p w:rsidR="003467DE" w:rsidRPr="0046244C" w:rsidRDefault="003467DE" w:rsidP="003467DE">
      <w:pPr>
        <w:spacing w:after="0" w:line="240" w:lineRule="auto"/>
        <w:rPr>
          <w:rFonts w:ascii="Rockwell" w:eastAsia="Times New Roman" w:hAnsi="Rockwell" w:cs="Times New Roman"/>
          <w:color w:val="59B1DE"/>
          <w:sz w:val="24"/>
          <w:szCs w:val="24"/>
        </w:rPr>
      </w:pPr>
      <w:r w:rsidRPr="003467DE">
        <w:rPr>
          <w:rFonts w:ascii="Rockwell" w:eastAsia="Times New Roman" w:hAnsi="Rockwell" w:cs="Times New Roman"/>
          <w:b/>
          <w:bCs/>
          <w:smallCaps/>
          <w:color w:val="59B1DE"/>
          <w:sz w:val="40"/>
          <w:szCs w:val="40"/>
        </w:rPr>
        <w:t>DELAWARE’S AREA TECHNICAL CENTERS FEATURED IN NATIONAL AREA TECHNICAL CENTER STUDY</w:t>
      </w:r>
    </w:p>
    <w:p w:rsidR="008037CA" w:rsidRDefault="008037CA" w:rsidP="008037CA">
      <w:pPr>
        <w:spacing w:before="120" w:after="120" w:line="240" w:lineRule="auto"/>
        <w:rPr>
          <w:rFonts w:ascii="Rockwell" w:eastAsia="Times New Roman" w:hAnsi="Rockwell" w:cs="Times New Roman"/>
          <w:color w:val="000000"/>
          <w:sz w:val="20"/>
          <w:szCs w:val="20"/>
        </w:rPr>
      </w:pPr>
    </w:p>
    <w:p w:rsidR="00677D20" w:rsidRPr="00677D20" w:rsidRDefault="00677D20" w:rsidP="00677D20">
      <w:pPr>
        <w:spacing w:after="0" w:line="240" w:lineRule="auto"/>
        <w:outlineLvl w:val="0"/>
        <w:rPr>
          <w:rFonts w:ascii="Rockwell" w:eastAsia="Times New Roman" w:hAnsi="Rockwell" w:cs="Times New Roman"/>
          <w:b/>
          <w:bCs/>
          <w:kern w:val="36"/>
          <w:sz w:val="56"/>
          <w:szCs w:val="48"/>
        </w:rPr>
      </w:pPr>
      <w:r w:rsidRPr="00677D20">
        <w:rPr>
          <w:rFonts w:ascii="Rockwell" w:eastAsia="Times New Roman" w:hAnsi="Rockwell" w:cs="Times New Roman"/>
          <w:b/>
          <w:bCs/>
          <w:smallCaps/>
          <w:color w:val="04324E"/>
          <w:kern w:val="36"/>
          <w:sz w:val="24"/>
          <w:szCs w:val="32"/>
        </w:rPr>
        <w:t xml:space="preserve">SILVER SPRING, MD (February 3, 2021) </w:t>
      </w:r>
      <w:r w:rsidRPr="00677D20">
        <w:rPr>
          <w:rFonts w:ascii="Rockwell" w:eastAsia="Times New Roman" w:hAnsi="Rockwell" w:cs="Times New Roman"/>
          <w:color w:val="000000"/>
          <w:sz w:val="24"/>
          <w:szCs w:val="20"/>
        </w:rPr>
        <w:t>-</w:t>
      </w:r>
      <w:r w:rsidR="008037CA" w:rsidRPr="00677D20">
        <w:rPr>
          <w:rFonts w:ascii="Rockwell" w:eastAsia="Times New Roman" w:hAnsi="Rockwell" w:cs="Times New Roman"/>
          <w:color w:val="000000"/>
          <w:sz w:val="24"/>
          <w:szCs w:val="20"/>
        </w:rPr>
        <w:t xml:space="preserve">Today, Advance CTE released Building Better Futures for Learners: A 50-State Analysis of Area Technical Centers (ATCs), alongside five state profiles highlighting effective and high-impact models of ATCs.  Delaware’s area technical centers, which are featured in a state profile, serve both secondary and postsecondary learners. Annually, the state invests $8.5 million in adult learners served by ATCs, positioning them as the training providers for the state’s Registered Apprenticeship program. Delaware’s ATCs are key players in the state’s education and workforce development efforts, contributing to the state’s postsecondary attainment goals by helping learners attain the skills necessary to earn credentials of value in high-wage, in-demand occupations. </w:t>
      </w:r>
    </w:p>
    <w:p w:rsidR="008037CA" w:rsidRPr="00677D20" w:rsidRDefault="008037CA" w:rsidP="008037CA">
      <w:pPr>
        <w:spacing w:before="120" w:after="120" w:line="240" w:lineRule="auto"/>
        <w:rPr>
          <w:rFonts w:ascii="Rockwell" w:eastAsia="Times New Roman" w:hAnsi="Rockwell" w:cs="Times New Roman"/>
          <w:color w:val="000000"/>
          <w:sz w:val="24"/>
          <w:szCs w:val="20"/>
        </w:rPr>
      </w:pPr>
      <w:r w:rsidRPr="00677D20">
        <w:rPr>
          <w:rFonts w:ascii="Rockwell" w:eastAsia="Times New Roman" w:hAnsi="Rockwell" w:cs="Times New Roman"/>
          <w:color w:val="000000"/>
          <w:sz w:val="24"/>
          <w:szCs w:val="20"/>
        </w:rPr>
        <w:t xml:space="preserve">"As we look ahead at the challenges and opportunities to achieving a sustainable and equitable economic recovery, it is vital that states fully leverage existing resources and institutions that offer high quality, accessible education”, said Kimberly Green, Executive Director for Advance CTE.  “Our work shows that ATCs are both resilient and effective - helping learners acquire the skills and credentials needed on their path to economic </w:t>
      </w:r>
      <w:proofErr w:type="spellStart"/>
      <w:r w:rsidRPr="00677D20">
        <w:rPr>
          <w:rFonts w:ascii="Rockwell" w:eastAsia="Times New Roman" w:hAnsi="Rockwell" w:cs="Times New Roman"/>
          <w:color w:val="000000"/>
          <w:sz w:val="24"/>
          <w:szCs w:val="20"/>
        </w:rPr>
        <w:t>self sufficiency</w:t>
      </w:r>
      <w:proofErr w:type="spellEnd"/>
      <w:r w:rsidRPr="00677D20">
        <w:rPr>
          <w:rFonts w:ascii="Rockwell" w:eastAsia="Times New Roman" w:hAnsi="Rockwell" w:cs="Times New Roman"/>
          <w:color w:val="000000"/>
          <w:sz w:val="24"/>
          <w:szCs w:val="20"/>
        </w:rPr>
        <w:t xml:space="preserve"> and growth.” </w:t>
      </w:r>
    </w:p>
    <w:p w:rsidR="008037CA" w:rsidRPr="00677D20" w:rsidRDefault="008037CA" w:rsidP="008037CA">
      <w:pPr>
        <w:spacing w:before="120" w:after="120" w:line="240" w:lineRule="auto"/>
        <w:rPr>
          <w:rFonts w:ascii="Rockwell" w:eastAsia="Times New Roman" w:hAnsi="Rockwell" w:cs="Times New Roman"/>
          <w:color w:val="000000"/>
          <w:sz w:val="24"/>
          <w:szCs w:val="20"/>
        </w:rPr>
      </w:pPr>
      <w:r w:rsidRPr="00677D20">
        <w:rPr>
          <w:rFonts w:ascii="Rockwell" w:eastAsia="Times New Roman" w:hAnsi="Rockwell" w:cs="Times New Roman"/>
          <w:color w:val="000000"/>
          <w:sz w:val="24"/>
          <w:szCs w:val="20"/>
        </w:rPr>
        <w:t xml:space="preserve">The state profile highlights the uniquely strong alignment of Delaware’s area technical centers with the postsecondary education system through the state’s CTE alliance and required stackable credentials and academic credits that are transferable to two and four year-degree institutions across the state. </w:t>
      </w:r>
    </w:p>
    <w:p w:rsidR="008037CA" w:rsidRPr="00677D20" w:rsidRDefault="008037CA" w:rsidP="008037CA">
      <w:pPr>
        <w:spacing w:before="120" w:after="120" w:line="240" w:lineRule="auto"/>
        <w:rPr>
          <w:rFonts w:ascii="Rockwell" w:eastAsia="Times New Roman" w:hAnsi="Rockwell" w:cs="Times New Roman"/>
          <w:color w:val="000000"/>
          <w:sz w:val="24"/>
          <w:szCs w:val="20"/>
        </w:rPr>
      </w:pPr>
      <w:r w:rsidRPr="00677D20">
        <w:rPr>
          <w:rFonts w:ascii="Rockwell" w:eastAsia="Times New Roman" w:hAnsi="Rockwell" w:cs="Times New Roman"/>
          <w:color w:val="000000"/>
          <w:sz w:val="24"/>
          <w:szCs w:val="20"/>
        </w:rPr>
        <w:t xml:space="preserve">"The adult divisions of our technical school systems have long been a bridge between education and employment, connecting Delaware employers to learners who are seeking to develop or enhance their skills through the state Registered Apprenticeship system and high-quality credential programs," Secretary of Education Susan Bunting said. "We are pleased to be recognized for our efforts to make Delaware's area technical centers a central and effective partner in our plans to achieve 65 percent of our workforce holding a degree or credential by 2025."  </w:t>
      </w:r>
    </w:p>
    <w:p w:rsidR="00292D27" w:rsidRPr="00677D20" w:rsidRDefault="008037CA" w:rsidP="008037CA">
      <w:pPr>
        <w:spacing w:before="120" w:after="120" w:line="240" w:lineRule="auto"/>
        <w:rPr>
          <w:rFonts w:ascii="Rockwell" w:eastAsia="Times New Roman" w:hAnsi="Rockwell" w:cs="Times New Roman"/>
          <w:sz w:val="32"/>
          <w:szCs w:val="24"/>
        </w:rPr>
      </w:pPr>
      <w:r w:rsidRPr="00677D20">
        <w:rPr>
          <w:rFonts w:ascii="Rockwell" w:eastAsia="Times New Roman" w:hAnsi="Rockwell" w:cs="Times New Roman"/>
          <w:color w:val="000000"/>
          <w:sz w:val="24"/>
          <w:szCs w:val="20"/>
        </w:rPr>
        <w:t>The full state profile and additional resources can be found at www.AreaTechnicalCenters.org.</w:t>
      </w:r>
    </w:p>
    <w:p w:rsidR="00292D27" w:rsidRDefault="00292D27"/>
    <w:sectPr w:rsidR="00292D27">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44D2E" w:rsidRDefault="00144D2E" w:rsidP="00D83BE3">
      <w:pPr>
        <w:spacing w:after="0" w:line="240" w:lineRule="auto"/>
      </w:pPr>
      <w:r>
        <w:separator/>
      </w:r>
    </w:p>
  </w:endnote>
  <w:endnote w:type="continuationSeparator" w:id="0">
    <w:p w:rsidR="00144D2E" w:rsidRDefault="00144D2E" w:rsidP="00D83B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SemiCond">
    <w:panose1 w:val="020B0703030403020204"/>
    <w:charset w:val="00"/>
    <w:family w:val="swiss"/>
    <w:notTrueType/>
    <w:pitch w:val="variable"/>
    <w:sig w:usb0="A00002AF" w:usb1="5000204B" w:usb2="00000000" w:usb3="00000000" w:csb0="0000009F" w:csb1="00000000"/>
  </w:font>
  <w:font w:name="Rockwell">
    <w:panose1 w:val="02060603020205020403"/>
    <w:charset w:val="00"/>
    <w:family w:val="roman"/>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320C" w:rsidRDefault="00E8320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3BE3" w:rsidRDefault="00E8320C">
    <w:pPr>
      <w:pStyle w:val="Footer"/>
    </w:pPr>
    <w:r>
      <w:rPr>
        <w:noProof/>
      </w:rPr>
      <mc:AlternateContent>
        <mc:Choice Requires="wps">
          <w:drawing>
            <wp:anchor distT="45720" distB="45720" distL="114300" distR="114300" simplePos="0" relativeHeight="251664384" behindDoc="0" locked="0" layoutInCell="1" allowOverlap="1" wp14:anchorId="787BEC7B" wp14:editId="452C1A1A">
              <wp:simplePos x="0" y="0"/>
              <wp:positionH relativeFrom="margin">
                <wp:align>center</wp:align>
              </wp:positionH>
              <wp:positionV relativeFrom="page">
                <wp:posOffset>9714230</wp:posOffset>
              </wp:positionV>
              <wp:extent cx="7480935" cy="24765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80935" cy="247650"/>
                      </a:xfrm>
                      <a:prstGeom prst="rect">
                        <a:avLst/>
                      </a:prstGeom>
                      <a:noFill/>
                      <a:ln w="9525">
                        <a:noFill/>
                        <a:miter lim="800000"/>
                        <a:headEnd/>
                        <a:tailEnd/>
                      </a:ln>
                    </wps:spPr>
                    <wps:txbx>
                      <w:txbxContent>
                        <w:p w:rsidR="00E8320C" w:rsidRPr="00490FA9" w:rsidRDefault="00E8320C" w:rsidP="00E8320C">
                          <w:pPr>
                            <w:jc w:val="center"/>
                            <w:rPr>
                              <w:rFonts w:ascii="Rockwell" w:hAnsi="Rockwell"/>
                              <w:b/>
                              <w:color w:val="04324E"/>
                              <w:sz w:val="24"/>
                            </w:rPr>
                          </w:pPr>
                          <w:bookmarkStart w:id="0" w:name="_GoBack"/>
                          <w:r w:rsidRPr="00490FA9">
                            <w:rPr>
                              <w:rFonts w:ascii="Rockwell" w:hAnsi="Rockwell"/>
                              <w:b/>
                              <w:color w:val="04324E"/>
                              <w:sz w:val="18"/>
                            </w:rPr>
                            <w:t xml:space="preserve">Area Technical Centers: </w:t>
                          </w:r>
                          <w:r w:rsidRPr="00490FA9">
                            <w:rPr>
                              <w:rFonts w:ascii="Rockwell" w:hAnsi="Rockwell"/>
                              <w:b/>
                              <w:color w:val="04324E"/>
                              <w:sz w:val="20"/>
                            </w:rPr>
                            <w:t>Supporting Postsecondary Skill and Credential</w:t>
                          </w:r>
                          <w:r w:rsidRPr="00490FA9">
                            <w:rPr>
                              <w:rFonts w:ascii="Rockwell" w:hAnsi="Rockwell"/>
                              <w:b/>
                              <w:color w:val="04324E"/>
                              <w:sz w:val="18"/>
                            </w:rPr>
                            <w:t xml:space="preserve"> </w:t>
                          </w:r>
                          <w:r w:rsidRPr="00490FA9">
                            <w:rPr>
                              <w:rFonts w:ascii="Rockwell" w:hAnsi="Rockwell"/>
                              <w:b/>
                              <w:color w:val="04324E"/>
                              <w:sz w:val="20"/>
                            </w:rPr>
                            <w:t>Attainment in Delaware</w:t>
                          </w:r>
                          <w:r w:rsidRPr="0046244C">
                            <w:rPr>
                              <w:rFonts w:ascii="Rockwell" w:hAnsi="Rockwell"/>
                              <w:b/>
                              <w:color w:val="04324E"/>
                              <w:sz w:val="28"/>
                            </w:rPr>
                            <w:t xml:space="preserve"> </w:t>
                          </w:r>
                          <w:bookmarkEnd w:id="0"/>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87BEC7B" id="_x0000_t202" coordsize="21600,21600" o:spt="202" path="m,l,21600r21600,l21600,xe">
              <v:stroke joinstyle="miter"/>
              <v:path gradientshapeok="t" o:connecttype="rect"/>
            </v:shapetype>
            <v:shape id="Text Box 2" o:spid="_x0000_s1026" type="#_x0000_t202" style="position:absolute;margin-left:0;margin-top:764.9pt;width:589.05pt;height:19.5pt;z-index:251664384;visibility:visible;mso-wrap-style:square;mso-width-percent:0;mso-height-percent:0;mso-wrap-distance-left:9pt;mso-wrap-distance-top:3.6pt;mso-wrap-distance-right:9pt;mso-wrap-distance-bottom:3.6pt;mso-position-horizontal:center;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" filled="f" stroked="f">
              <v:textbox>
                <w:txbxContent>
                  <w:p w:rsidR="00E8320C" w:rsidRPr="00490FA9" w:rsidRDefault="00E8320C" w:rsidP="00E8320C">
                    <w:pPr>
                      <w:jc w:val="center"/>
                      <w:rPr>
                        <w:rFonts w:ascii="Rockwell" w:hAnsi="Rockwell"/>
                        <w:b/>
                        <w:color w:val="04324E"/>
                        <w:sz w:val="24"/>
                      </w:rPr>
                    </w:pPr>
                    <w:bookmarkStart w:id="1" w:name="_GoBack"/>
                    <w:r w:rsidRPr="00490FA9">
                      <w:rPr>
                        <w:rFonts w:ascii="Rockwell" w:hAnsi="Rockwell"/>
                        <w:b/>
                        <w:color w:val="04324E"/>
                        <w:sz w:val="18"/>
                      </w:rPr>
                      <w:t xml:space="preserve">Area Technical Centers: </w:t>
                    </w:r>
                    <w:r w:rsidRPr="00490FA9">
                      <w:rPr>
                        <w:rFonts w:ascii="Rockwell" w:hAnsi="Rockwell"/>
                        <w:b/>
                        <w:color w:val="04324E"/>
                        <w:sz w:val="20"/>
                      </w:rPr>
                      <w:t>Supporting Postsecondary Skill and Credential</w:t>
                    </w:r>
                    <w:r w:rsidRPr="00490FA9">
                      <w:rPr>
                        <w:rFonts w:ascii="Rockwell" w:hAnsi="Rockwell"/>
                        <w:b/>
                        <w:color w:val="04324E"/>
                        <w:sz w:val="18"/>
                      </w:rPr>
                      <w:t xml:space="preserve"> </w:t>
                    </w:r>
                    <w:r w:rsidRPr="00490FA9">
                      <w:rPr>
                        <w:rFonts w:ascii="Rockwell" w:hAnsi="Rockwell"/>
                        <w:b/>
                        <w:color w:val="04324E"/>
                        <w:sz w:val="20"/>
                      </w:rPr>
                      <w:t>Attainment in Delaware</w:t>
                    </w:r>
                    <w:r w:rsidRPr="0046244C">
                      <w:rPr>
                        <w:rFonts w:ascii="Rockwell" w:hAnsi="Rockwell"/>
                        <w:b/>
                        <w:color w:val="04324E"/>
                        <w:sz w:val="28"/>
                      </w:rPr>
                      <w:t xml:space="preserve"> </w:t>
                    </w:r>
                    <w:bookmarkEnd w:id="1"/>
                  </w:p>
                </w:txbxContent>
              </v:textbox>
              <w10:wrap anchorx="margin" anchory="page"/>
            </v:shape>
          </w:pict>
        </mc:Fallback>
      </mc:AlternateContent>
    </w:r>
    <w:r w:rsidR="000E16AD">
      <w:rPr>
        <w:noProof/>
      </w:rPr>
      <mc:AlternateContent>
        <mc:Choice Requires="wps">
          <w:drawing>
            <wp:anchor distT="0" distB="0" distL="114300" distR="114300" simplePos="0" relativeHeight="251662336" behindDoc="0" locked="0" layoutInCell="1" allowOverlap="1">
              <wp:simplePos x="0" y="0"/>
              <wp:positionH relativeFrom="page">
                <wp:align>left</wp:align>
              </wp:positionH>
              <wp:positionV relativeFrom="paragraph">
                <wp:posOffset>189866</wp:posOffset>
              </wp:positionV>
              <wp:extent cx="7791450" cy="750570"/>
              <wp:effectExtent l="0" t="0" r="0" b="0"/>
              <wp:wrapNone/>
              <wp:docPr id="6" name="Rectangle 6"/>
              <wp:cNvGraphicFramePr/>
              <a:graphic xmlns:a="http://schemas.openxmlformats.org/drawingml/2006/main">
                <a:graphicData uri="http://schemas.microsoft.com/office/word/2010/wordprocessingShape">
                  <wps:wsp>
                    <wps:cNvSpPr/>
                    <wps:spPr>
                      <a:xfrm>
                        <a:off x="0" y="0"/>
                        <a:ext cx="7791450" cy="750570"/>
                      </a:xfrm>
                      <a:prstGeom prst="rect">
                        <a:avLst/>
                      </a:prstGeom>
                      <a:solidFill>
                        <a:srgbClr val="F5852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0BD484" id="Rectangle 6" o:spid="_x0000_s1026" style="position:absolute;margin-left:0;margin-top:14.95pt;width:613.5pt;height:59.1pt;z-index:251662336;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" fillcolor="#f58520" stroked="f" strokeweight="1pt">
              <w10:wrap anchorx="page"/>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320C" w:rsidRDefault="00E832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44D2E" w:rsidRDefault="00144D2E" w:rsidP="00D83BE3">
      <w:pPr>
        <w:spacing w:after="0" w:line="240" w:lineRule="auto"/>
      </w:pPr>
      <w:r>
        <w:separator/>
      </w:r>
    </w:p>
  </w:footnote>
  <w:footnote w:type="continuationSeparator" w:id="0">
    <w:p w:rsidR="00144D2E" w:rsidRDefault="00144D2E" w:rsidP="00D83B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320C" w:rsidRDefault="00E8320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2D27" w:rsidRDefault="00292D27">
    <w:pPr>
      <w:pStyle w:val="Header"/>
      <w:rPr>
        <w:noProof/>
      </w:rPr>
    </w:pPr>
    <w:r>
      <w:rPr>
        <w:noProof/>
      </w:rPr>
      <mc:AlternateContent>
        <mc:Choice Requires="wps">
          <w:drawing>
            <wp:anchor distT="0" distB="0" distL="114300" distR="114300" simplePos="0" relativeHeight="251659264" behindDoc="0" locked="0" layoutInCell="1" allowOverlap="1">
              <wp:simplePos x="0" y="0"/>
              <wp:positionH relativeFrom="page">
                <wp:posOffset>-200025</wp:posOffset>
              </wp:positionH>
              <wp:positionV relativeFrom="paragraph">
                <wp:posOffset>85725</wp:posOffset>
              </wp:positionV>
              <wp:extent cx="8448675" cy="411480"/>
              <wp:effectExtent l="0" t="0" r="9525" b="7620"/>
              <wp:wrapNone/>
              <wp:docPr id="2" name="Rectangle 2"/>
              <wp:cNvGraphicFramePr/>
              <a:graphic xmlns:a="http://schemas.openxmlformats.org/drawingml/2006/main">
                <a:graphicData uri="http://schemas.microsoft.com/office/word/2010/wordprocessingShape">
                  <wps:wsp>
                    <wps:cNvSpPr/>
                    <wps:spPr>
                      <a:xfrm>
                        <a:off x="0" y="0"/>
                        <a:ext cx="8448675" cy="411480"/>
                      </a:xfrm>
                      <a:prstGeom prst="rect">
                        <a:avLst/>
                      </a:prstGeom>
                      <a:solidFill>
                        <a:srgbClr val="04324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7309213" id="Rectangle 2" o:spid="_x0000_s1026" style="position:absolute;margin-left:-15.75pt;margin-top:6.75pt;width:665.25pt;height:32.4pt;z-index:251659264;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" fillcolor="#04324e" stroked="f" strokeweight="1pt">
              <w10:wrap anchorx="page"/>
            </v:rect>
          </w:pict>
        </mc:Fallback>
      </mc:AlternateContent>
    </w:r>
    <w:r>
      <w:rPr>
        <w:noProof/>
      </w:rPr>
      <w:drawing>
        <wp:anchor distT="0" distB="0" distL="114300" distR="114300" simplePos="0" relativeHeight="251661312" behindDoc="0" locked="0" layoutInCell="1" allowOverlap="1" wp14:anchorId="2C1E8689" wp14:editId="2A1BF0E4">
          <wp:simplePos x="0" y="0"/>
          <wp:positionH relativeFrom="column">
            <wp:posOffset>-783771</wp:posOffset>
          </wp:positionH>
          <wp:positionV relativeFrom="paragraph">
            <wp:posOffset>-326572</wp:posOffset>
          </wp:positionV>
          <wp:extent cx="2373630" cy="326571"/>
          <wp:effectExtent l="0" t="0" r="762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ighRes_Transparent_Advance (1).png"/>
                  <pic:cNvPicPr/>
                </pic:nvPicPr>
                <pic:blipFill rotWithShape="1">
                  <a:blip r:embed="rId1">
                    <a:extLst>
                      <a:ext uri="{28A0092B-C50C-407E-A947-70E740481C1C}">
                        <a14:useLocalDpi xmlns:a14="http://schemas.microsoft.com/office/drawing/2010/main" val="0"/>
                      </a:ext>
                    </a:extLst>
                  </a:blip>
                  <a:srcRect b="38356"/>
                  <a:stretch/>
                </pic:blipFill>
                <pic:spPr bwMode="auto">
                  <a:xfrm>
                    <a:off x="0" y="0"/>
                    <a:ext cx="2394604" cy="329457"/>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D83BE3" w:rsidRDefault="00D83BE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320C" w:rsidRDefault="00E8320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BE3"/>
    <w:rsid w:val="000E16AD"/>
    <w:rsid w:val="00144D2E"/>
    <w:rsid w:val="00240DED"/>
    <w:rsid w:val="00292D27"/>
    <w:rsid w:val="00313BA4"/>
    <w:rsid w:val="003467DE"/>
    <w:rsid w:val="004471E6"/>
    <w:rsid w:val="0046244C"/>
    <w:rsid w:val="00495E54"/>
    <w:rsid w:val="005D0118"/>
    <w:rsid w:val="00677D20"/>
    <w:rsid w:val="0072168B"/>
    <w:rsid w:val="008037CA"/>
    <w:rsid w:val="00A31BA5"/>
    <w:rsid w:val="00AD5087"/>
    <w:rsid w:val="00CA6FDF"/>
    <w:rsid w:val="00CD046C"/>
    <w:rsid w:val="00D83BE3"/>
    <w:rsid w:val="00E65C6E"/>
    <w:rsid w:val="00E8320C"/>
    <w:rsid w:val="00F155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FFAE213-17E7-4FFD-AA8B-342B2C8BA9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292D2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292D27"/>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292D27"/>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292D27"/>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link w:val="Heading5Char"/>
    <w:uiPriority w:val="9"/>
    <w:qFormat/>
    <w:rsid w:val="00292D27"/>
    <w:pPr>
      <w:spacing w:before="100" w:beforeAutospacing="1" w:after="100" w:afterAutospacing="1" w:line="240" w:lineRule="auto"/>
      <w:outlineLvl w:val="4"/>
    </w:pPr>
    <w:rPr>
      <w:rFonts w:ascii="Times New Roman" w:eastAsia="Times New Roman" w:hAnsi="Times New Roman" w:cs="Times New Roman"/>
      <w:b/>
      <w:bCs/>
      <w:sz w:val="20"/>
      <w:szCs w:val="20"/>
    </w:rPr>
  </w:style>
  <w:style w:type="paragraph" w:styleId="Heading6">
    <w:name w:val="heading 6"/>
    <w:basedOn w:val="Normal"/>
    <w:link w:val="Heading6Char"/>
    <w:uiPriority w:val="9"/>
    <w:qFormat/>
    <w:rsid w:val="00292D27"/>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83BE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83BE3"/>
  </w:style>
  <w:style w:type="paragraph" w:styleId="Footer">
    <w:name w:val="footer"/>
    <w:basedOn w:val="Normal"/>
    <w:link w:val="FooterChar"/>
    <w:uiPriority w:val="99"/>
    <w:unhideWhenUsed/>
    <w:rsid w:val="00D83B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83BE3"/>
  </w:style>
  <w:style w:type="character" w:customStyle="1" w:styleId="Heading1Char">
    <w:name w:val="Heading 1 Char"/>
    <w:basedOn w:val="DefaultParagraphFont"/>
    <w:link w:val="Heading1"/>
    <w:uiPriority w:val="9"/>
    <w:rsid w:val="00292D27"/>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292D27"/>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292D27"/>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292D27"/>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292D27"/>
    <w:rPr>
      <w:rFonts w:ascii="Times New Roman" w:eastAsia="Times New Roman" w:hAnsi="Times New Roman" w:cs="Times New Roman"/>
      <w:b/>
      <w:bCs/>
      <w:sz w:val="20"/>
      <w:szCs w:val="20"/>
    </w:rPr>
  </w:style>
  <w:style w:type="character" w:customStyle="1" w:styleId="Heading6Char">
    <w:name w:val="Heading 6 Char"/>
    <w:basedOn w:val="DefaultParagraphFont"/>
    <w:link w:val="Heading6"/>
    <w:uiPriority w:val="9"/>
    <w:rsid w:val="00292D27"/>
    <w:rPr>
      <w:rFonts w:ascii="Times New Roman" w:eastAsia="Times New Roman" w:hAnsi="Times New Roman" w:cs="Times New Roman"/>
      <w:b/>
      <w:bCs/>
      <w:sz w:val="15"/>
      <w:szCs w:val="15"/>
    </w:rPr>
  </w:style>
  <w:style w:type="paragraph" w:styleId="NormalWeb">
    <w:name w:val="Normal (Web)"/>
    <w:basedOn w:val="Normal"/>
    <w:uiPriority w:val="99"/>
    <w:semiHidden/>
    <w:unhideWhenUsed/>
    <w:rsid w:val="00292D2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CD046C"/>
    <w:rPr>
      <w:color w:val="0563C1" w:themeColor="hyperlink"/>
      <w:u w:val="single"/>
    </w:rPr>
  </w:style>
  <w:style w:type="character" w:styleId="UnresolvedMention">
    <w:name w:val="Unresolved Mention"/>
    <w:basedOn w:val="DefaultParagraphFont"/>
    <w:uiPriority w:val="99"/>
    <w:semiHidden/>
    <w:unhideWhenUsed/>
    <w:rsid w:val="00CD04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0191916">
      <w:bodyDiv w:val="1"/>
      <w:marLeft w:val="0"/>
      <w:marRight w:val="0"/>
      <w:marTop w:val="0"/>
      <w:marBottom w:val="0"/>
      <w:divBdr>
        <w:top w:val="none" w:sz="0" w:space="0" w:color="auto"/>
        <w:left w:val="none" w:sz="0" w:space="0" w:color="auto"/>
        <w:bottom w:val="none" w:sz="0" w:space="0" w:color="auto"/>
        <w:right w:val="none" w:sz="0" w:space="0" w:color="auto"/>
      </w:divBdr>
    </w:div>
    <w:div w:id="1923249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331</Words>
  <Characters>1986</Characters>
  <Application>Microsoft Office Word</Application>
  <DocSecurity>0</DocSecurity>
  <Lines>35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www.areatechnicalcenters.org</dc:creator>
  <cp:keywords/>
  <dc:description/>
  <cp:lastModifiedBy>Britanny Cannady</cp:lastModifiedBy>
  <cp:revision>4</cp:revision>
  <dcterms:created xsi:type="dcterms:W3CDTF">2021-01-25T22:10:00Z</dcterms:created>
  <dcterms:modified xsi:type="dcterms:W3CDTF">2021-01-25T23:30:00Z</dcterms:modified>
</cp:coreProperties>
</file>