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B2E469" w14:textId="44692EBD" w:rsidR="00F34D9D" w:rsidRPr="00BC42A7" w:rsidRDefault="0065743D" w:rsidP="00173E94">
      <w:pPr>
        <w:spacing w:after="0" w:line="276" w:lineRule="auto"/>
        <w:rPr>
          <w:rFonts w:eastAsia="Times New Roman" w:cs="Times New Roman"/>
          <w:color w:val="000000"/>
        </w:rPr>
      </w:pPr>
      <w:r w:rsidRPr="005E7A46">
        <w:rPr>
          <w:rFonts w:eastAsia="Times New Roman" w:cs="Times New Roman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2F22A" wp14:editId="612C0C48">
                <wp:simplePos x="0" y="0"/>
                <wp:positionH relativeFrom="column">
                  <wp:posOffset>5991225</wp:posOffset>
                </wp:positionH>
                <wp:positionV relativeFrom="paragraph">
                  <wp:posOffset>-552450</wp:posOffset>
                </wp:positionV>
                <wp:extent cx="2834640" cy="1403985"/>
                <wp:effectExtent l="0" t="0" r="2286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76193" w14:textId="70C2483A" w:rsidR="0065743D" w:rsidRPr="0065743D" w:rsidRDefault="0065743D" w:rsidP="0065743D">
                            <w:pPr>
                              <w:spacing w:after="0" w:line="276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t>Companion Document to the</w:t>
                            </w:r>
                            <w:r w:rsidR="00616BCD"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65743D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>Labor Market Information (LMI) Instructions &amp;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32F2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75pt;margin-top:-43.5pt;width:223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">
                <v:textbox style="mso-fit-shape-to-text:t">
                  <w:txbxContent>
                    <w:p w14:paraId="32776193" w14:textId="70C2483A" w:rsidR="0065743D" w:rsidRPr="0065743D" w:rsidRDefault="0065743D" w:rsidP="0065743D">
                      <w:pPr>
                        <w:spacing w:after="0" w:line="276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t>Companion Document to the</w:t>
                      </w:r>
                      <w:r w:rsidR="00616BCD">
                        <w:t>: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65743D">
                        <w:rPr>
                          <w:rFonts w:eastAsia="Times New Roman" w:cs="Times New Roman"/>
                          <w:b/>
                          <w:bCs/>
                          <w:color w:val="000000"/>
                        </w:rPr>
                        <w:t>Labor Market Information (LMI) Instructions &amp; Guidance</w:t>
                      </w:r>
                    </w:p>
                  </w:txbxContent>
                </v:textbox>
              </v:shape>
            </w:pict>
          </mc:Fallback>
        </mc:AlternateContent>
      </w:r>
      <w:r w:rsidR="00F34D9D" w:rsidRPr="00BC42A7">
        <w:rPr>
          <w:rFonts w:eastAsia="Times New Roman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688B301" wp14:editId="35480F1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27860" cy="632460"/>
            <wp:effectExtent l="0" t="0" r="0" b="0"/>
            <wp:wrapNone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632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C3B1" w14:textId="77777777" w:rsidR="00B75B08" w:rsidRPr="00BC42A7" w:rsidRDefault="00B75B08" w:rsidP="00173E94">
      <w:pPr>
        <w:spacing w:after="0" w:line="276" w:lineRule="auto"/>
        <w:jc w:val="center"/>
        <w:rPr>
          <w:rFonts w:eastAsia="Times New Roman" w:cs="Times New Roman"/>
          <w:bCs/>
          <w:color w:val="000000"/>
        </w:rPr>
      </w:pPr>
    </w:p>
    <w:p w14:paraId="5DBF436D" w14:textId="77777777" w:rsidR="00B75B08" w:rsidRPr="00BC42A7" w:rsidRDefault="00B75B08" w:rsidP="00173E94">
      <w:pPr>
        <w:spacing w:after="0" w:line="276" w:lineRule="auto"/>
        <w:jc w:val="center"/>
        <w:rPr>
          <w:rFonts w:eastAsia="Times New Roman" w:cs="Times New Roman"/>
          <w:bCs/>
          <w:color w:val="000000"/>
        </w:rPr>
      </w:pPr>
    </w:p>
    <w:p w14:paraId="0CF17D65" w14:textId="77777777" w:rsidR="00F31CA6" w:rsidRPr="00BC42A7" w:rsidRDefault="00F31CA6" w:rsidP="00173E94">
      <w:pPr>
        <w:spacing w:after="0" w:line="276" w:lineRule="auto"/>
        <w:jc w:val="center"/>
        <w:rPr>
          <w:rFonts w:eastAsia="Times New Roman" w:cs="Times New Roman"/>
          <w:bCs/>
          <w:color w:val="000000"/>
        </w:rPr>
      </w:pPr>
      <w:r w:rsidRPr="00BC42A7">
        <w:rPr>
          <w:rFonts w:eastAsia="Times New Roman" w:cs="Times New Roman"/>
          <w:bCs/>
          <w:color w:val="000000"/>
        </w:rPr>
        <w:t>Delaware Department of Education</w:t>
      </w:r>
    </w:p>
    <w:p w14:paraId="276438E0" w14:textId="01D48654" w:rsidR="00F34D9D" w:rsidRPr="002742CC" w:rsidRDefault="006E2130" w:rsidP="00173E94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Appendix: </w:t>
      </w:r>
      <w:r w:rsidR="002742CC">
        <w:rPr>
          <w:rFonts w:eastAsia="Times New Roman" w:cs="Times New Roman"/>
          <w:b/>
          <w:bCs/>
          <w:color w:val="000000"/>
        </w:rPr>
        <w:t>Labor Market Information (LMI)</w:t>
      </w:r>
      <w:r w:rsidR="00AC7F20">
        <w:rPr>
          <w:rFonts w:eastAsia="Times New Roman" w:cs="Times New Roman"/>
          <w:b/>
          <w:bCs/>
          <w:color w:val="000000"/>
        </w:rPr>
        <w:t xml:space="preserve"> Review</w:t>
      </w:r>
    </w:p>
    <w:p w14:paraId="4AE6B128" w14:textId="77777777" w:rsidR="00F34D9D" w:rsidRPr="00BC42A7" w:rsidRDefault="00F34D9D" w:rsidP="00173E94">
      <w:pPr>
        <w:spacing w:after="0" w:line="276" w:lineRule="auto"/>
        <w:jc w:val="center"/>
        <w:rPr>
          <w:rFonts w:eastAsia="Times New Roman" w:cs="Times New Roman"/>
          <w:color w:val="000000"/>
        </w:rPr>
      </w:pPr>
      <w:r w:rsidRPr="00BC42A7">
        <w:rPr>
          <w:rFonts w:eastAsia="Times New Roman" w:cs="Times New Roman"/>
          <w:color w:val="000000"/>
        </w:rPr>
        <w:t>Delaware CTE Program of Study Application</w:t>
      </w:r>
    </w:p>
    <w:p w14:paraId="19A44236" w14:textId="77777777" w:rsidR="00B75B08" w:rsidRPr="00BC42A7" w:rsidRDefault="00B75B08" w:rsidP="00B75B08">
      <w:pPr>
        <w:spacing w:after="0" w:line="276" w:lineRule="auto"/>
        <w:rPr>
          <w:rFonts w:eastAsia="Times New Roman" w:cs="Times New Roman"/>
          <w:color w:val="000000"/>
          <w:u w:val="single"/>
        </w:rPr>
      </w:pPr>
    </w:p>
    <w:p w14:paraId="4A881390" w14:textId="7EE102BC" w:rsidR="00A6266B" w:rsidRPr="006E2130" w:rsidRDefault="006E2130" w:rsidP="00B75B08">
      <w:pPr>
        <w:spacing w:after="0" w:line="276" w:lineRule="auto"/>
        <w:rPr>
          <w:rFonts w:eastAsia="Times New Roman" w:cs="Times New Roman"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 xml:space="preserve">Table 1: </w:t>
      </w:r>
      <w:r w:rsidR="00B75B08" w:rsidRPr="00F81FCE">
        <w:rPr>
          <w:rFonts w:eastAsia="Times New Roman" w:cs="Times New Roman"/>
          <w:b/>
          <w:color w:val="000000"/>
          <w:u w:val="single"/>
        </w:rPr>
        <w:t xml:space="preserve">LEA </w:t>
      </w:r>
      <w:r w:rsidR="00B126A7" w:rsidRPr="00F81FCE">
        <w:rPr>
          <w:rFonts w:eastAsia="Times New Roman" w:cs="Times New Roman"/>
          <w:b/>
          <w:color w:val="000000"/>
          <w:u w:val="single"/>
        </w:rPr>
        <w:t>I</w:t>
      </w:r>
      <w:r w:rsidR="00B126A7" w:rsidRPr="006E2130">
        <w:rPr>
          <w:rFonts w:eastAsia="Times New Roman" w:cs="Times New Roman"/>
          <w:b/>
          <w:color w:val="000000"/>
          <w:u w:val="single"/>
        </w:rPr>
        <w:t xml:space="preserve">nformation </w:t>
      </w:r>
      <w:r w:rsidR="00A71990">
        <w:rPr>
          <w:rFonts w:eastAsia="Times New Roman" w:cs="Times New Roman"/>
          <w:b/>
          <w:color w:val="000000"/>
          <w:u w:val="single"/>
        </w:rPr>
        <w:br/>
      </w:r>
      <w:r w:rsidR="00A71990" w:rsidRPr="00D374D6">
        <w:rPr>
          <w:rFonts w:eastAsia="Times New Roman" w:cs="Times New Roman"/>
          <w:i/>
          <w:color w:val="000000"/>
        </w:rPr>
        <w:t xml:space="preserve">(see </w:t>
      </w:r>
      <w:r w:rsidR="00D374D6" w:rsidRPr="00D374D6">
        <w:rPr>
          <w:rFonts w:eastAsia="Times New Roman" w:cs="Times New Roman"/>
          <w:i/>
          <w:color w:val="000000"/>
        </w:rPr>
        <w:t xml:space="preserve">instructions on </w:t>
      </w:r>
      <w:r w:rsidR="00554185" w:rsidRPr="00D374D6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page 2</w:t>
      </w:r>
      <w:r w:rsidR="00A71990" w:rsidRPr="00D374D6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 xml:space="preserve">, </w:t>
      </w:r>
      <w:r w:rsidRPr="00D374D6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LMI Instructions &amp; Guidance Document)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8"/>
        <w:gridCol w:w="10010"/>
      </w:tblGrid>
      <w:tr w:rsidR="00B75B08" w:rsidRPr="00BC42A7" w14:paraId="3D8FE497" w14:textId="77777777" w:rsidTr="002F0DF7">
        <w:trPr>
          <w:trHeight w:val="407"/>
        </w:trPr>
        <w:tc>
          <w:tcPr>
            <w:tcW w:w="3058" w:type="dxa"/>
            <w:shd w:val="clear" w:color="auto" w:fill="FFF2CC" w:themeFill="accent4" w:themeFillTint="33"/>
            <w:vAlign w:val="center"/>
          </w:tcPr>
          <w:p w14:paraId="103837A2" w14:textId="77777777" w:rsidR="00B75B08" w:rsidRPr="00BC42A7" w:rsidRDefault="00B75B08" w:rsidP="00FC3B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u w:val="single"/>
              </w:rPr>
            </w:pPr>
            <w:r w:rsidRPr="00BC42A7">
              <w:rPr>
                <w:rFonts w:eastAsia="Times New Roman" w:cs="Times New Roman"/>
                <w:color w:val="000000"/>
              </w:rPr>
              <w:t xml:space="preserve">Career Cluster:   </w:t>
            </w:r>
          </w:p>
        </w:tc>
        <w:tc>
          <w:tcPr>
            <w:tcW w:w="10010" w:type="dxa"/>
            <w:shd w:val="clear" w:color="auto" w:fill="FFF2CC" w:themeFill="accent4" w:themeFillTint="33"/>
            <w:vAlign w:val="center"/>
          </w:tcPr>
          <w:p w14:paraId="57BB0A88" w14:textId="6CE78A4D" w:rsidR="00B75B08" w:rsidRPr="0059320B" w:rsidRDefault="00A40E9B" w:rsidP="00FC3B18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Education &amp; Training</w:t>
            </w:r>
          </w:p>
        </w:tc>
      </w:tr>
      <w:tr w:rsidR="00B75B08" w:rsidRPr="00BC42A7" w14:paraId="00F979B5" w14:textId="77777777" w:rsidTr="002F0DF7">
        <w:trPr>
          <w:trHeight w:val="407"/>
        </w:trPr>
        <w:tc>
          <w:tcPr>
            <w:tcW w:w="3058" w:type="dxa"/>
            <w:shd w:val="clear" w:color="auto" w:fill="FFF2CC" w:themeFill="accent4" w:themeFillTint="33"/>
            <w:vAlign w:val="center"/>
          </w:tcPr>
          <w:p w14:paraId="54413EE2" w14:textId="29C7B23C" w:rsidR="00B75B08" w:rsidRPr="00BC42A7" w:rsidRDefault="00B75B08" w:rsidP="00FC3B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u w:val="single"/>
              </w:rPr>
            </w:pPr>
            <w:r w:rsidRPr="00BC42A7">
              <w:rPr>
                <w:rFonts w:eastAsia="Times New Roman" w:cs="Times New Roman"/>
                <w:color w:val="000000"/>
              </w:rPr>
              <w:t>Career Pathway:</w:t>
            </w:r>
          </w:p>
        </w:tc>
        <w:tc>
          <w:tcPr>
            <w:tcW w:w="10010" w:type="dxa"/>
            <w:shd w:val="clear" w:color="auto" w:fill="FFF2CC" w:themeFill="accent4" w:themeFillTint="33"/>
            <w:vAlign w:val="center"/>
          </w:tcPr>
          <w:p w14:paraId="66164F9F" w14:textId="09B19387" w:rsidR="00B75B08" w:rsidRPr="0059320B" w:rsidRDefault="00A40E9B" w:rsidP="00FC3B18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Teaching/Training Pathway</w:t>
            </w:r>
          </w:p>
        </w:tc>
      </w:tr>
      <w:tr w:rsidR="00B75B08" w:rsidRPr="00BC42A7" w14:paraId="564F6E13" w14:textId="77777777" w:rsidTr="002F0DF7">
        <w:trPr>
          <w:trHeight w:val="407"/>
        </w:trPr>
        <w:tc>
          <w:tcPr>
            <w:tcW w:w="3058" w:type="dxa"/>
            <w:shd w:val="clear" w:color="auto" w:fill="FFE599" w:themeFill="accent4" w:themeFillTint="66"/>
            <w:vAlign w:val="center"/>
          </w:tcPr>
          <w:p w14:paraId="7DBEBA4A" w14:textId="77777777" w:rsidR="00B75B08" w:rsidRPr="00BC42A7" w:rsidRDefault="00B75B08" w:rsidP="00FC3B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u w:val="single"/>
              </w:rPr>
            </w:pPr>
            <w:r w:rsidRPr="00BC42A7">
              <w:rPr>
                <w:rFonts w:eastAsia="Times New Roman" w:cs="Times New Roman"/>
                <w:bCs/>
                <w:color w:val="000000"/>
              </w:rPr>
              <w:t xml:space="preserve">CTE Program of Study:   </w:t>
            </w:r>
          </w:p>
        </w:tc>
        <w:tc>
          <w:tcPr>
            <w:tcW w:w="10010" w:type="dxa"/>
            <w:shd w:val="clear" w:color="auto" w:fill="FFE599" w:themeFill="accent4" w:themeFillTint="66"/>
            <w:vAlign w:val="center"/>
          </w:tcPr>
          <w:p w14:paraId="18FDA92A" w14:textId="3BAF6584" w:rsidR="00B75B08" w:rsidRPr="0059320B" w:rsidRDefault="000E6CEC" w:rsidP="00FC3B18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K-12 </w:t>
            </w:r>
            <w:r w:rsidR="00A40E9B">
              <w:rPr>
                <w:rFonts w:eastAsia="Times New Roman" w:cs="Times New Roman"/>
                <w:color w:val="000000"/>
              </w:rPr>
              <w:t xml:space="preserve">Teacher Academy </w:t>
            </w:r>
          </w:p>
        </w:tc>
      </w:tr>
      <w:tr w:rsidR="00B75B08" w:rsidRPr="00BC42A7" w14:paraId="56BC4A41" w14:textId="77777777" w:rsidTr="002F0DF7">
        <w:trPr>
          <w:trHeight w:val="407"/>
        </w:trPr>
        <w:tc>
          <w:tcPr>
            <w:tcW w:w="3058" w:type="dxa"/>
            <w:shd w:val="clear" w:color="auto" w:fill="FFE599" w:themeFill="accent4" w:themeFillTint="66"/>
            <w:vAlign w:val="center"/>
          </w:tcPr>
          <w:p w14:paraId="403EA31F" w14:textId="6D0D60F7" w:rsidR="00B75B08" w:rsidRPr="00BC42A7" w:rsidRDefault="00B75B08" w:rsidP="00FC3B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u w:val="single"/>
              </w:rPr>
            </w:pPr>
            <w:r w:rsidRPr="00BC42A7">
              <w:rPr>
                <w:rFonts w:eastAsia="Times New Roman" w:cs="Times New Roman"/>
                <w:color w:val="000000"/>
              </w:rPr>
              <w:t>High School and LEA Name:</w:t>
            </w:r>
          </w:p>
        </w:tc>
        <w:tc>
          <w:tcPr>
            <w:tcW w:w="10010" w:type="dxa"/>
            <w:shd w:val="clear" w:color="auto" w:fill="FFE599" w:themeFill="accent4" w:themeFillTint="66"/>
            <w:vAlign w:val="center"/>
          </w:tcPr>
          <w:p w14:paraId="3E04BC65" w14:textId="55074C11" w:rsidR="00B75B08" w:rsidRPr="0059320B" w:rsidRDefault="00B75B08" w:rsidP="00FC3B18">
            <w:pP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5B08" w:rsidRPr="00BC42A7" w14:paraId="14781AEC" w14:textId="77777777" w:rsidTr="002F0DF7">
        <w:trPr>
          <w:trHeight w:val="407"/>
        </w:trPr>
        <w:tc>
          <w:tcPr>
            <w:tcW w:w="3058" w:type="dxa"/>
            <w:shd w:val="clear" w:color="auto" w:fill="FFE599" w:themeFill="accent4" w:themeFillTint="66"/>
            <w:vAlign w:val="center"/>
          </w:tcPr>
          <w:p w14:paraId="1079781B" w14:textId="77777777" w:rsidR="00B75B08" w:rsidRPr="00BC42A7" w:rsidRDefault="00B75B08" w:rsidP="00FC3B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u w:val="single"/>
              </w:rPr>
            </w:pPr>
            <w:r w:rsidRPr="00BC42A7">
              <w:rPr>
                <w:rFonts w:eastAsia="Times New Roman" w:cs="Times New Roman"/>
                <w:color w:val="000000"/>
              </w:rPr>
              <w:t xml:space="preserve">County:   </w:t>
            </w:r>
          </w:p>
        </w:tc>
        <w:tc>
          <w:tcPr>
            <w:tcW w:w="10010" w:type="dxa"/>
            <w:shd w:val="clear" w:color="auto" w:fill="FFE599" w:themeFill="accent4" w:themeFillTint="66"/>
            <w:vAlign w:val="center"/>
          </w:tcPr>
          <w:p w14:paraId="1F016B25" w14:textId="13FE1965" w:rsidR="00B75B08" w:rsidRPr="0059320B" w:rsidRDefault="00B75B08" w:rsidP="00FC3B18">
            <w:pP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33949F4C" w14:textId="77777777" w:rsidR="00B75B08" w:rsidRPr="00BC42A7" w:rsidRDefault="00B75B08" w:rsidP="00B75B08">
      <w:pPr>
        <w:spacing w:after="0" w:line="276" w:lineRule="auto"/>
        <w:rPr>
          <w:rFonts w:eastAsia="Times New Roman" w:cs="Times New Roman"/>
          <w:color w:val="000000"/>
        </w:rPr>
      </w:pPr>
    </w:p>
    <w:p w14:paraId="576106D4" w14:textId="379A6F6B" w:rsidR="00B75B08" w:rsidRPr="00F81FCE" w:rsidRDefault="006E2130" w:rsidP="00B75B08">
      <w:pPr>
        <w:spacing w:after="0" w:line="276" w:lineRule="auto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bCs/>
          <w:color w:val="000000"/>
          <w:u w:val="single"/>
        </w:rPr>
        <w:t xml:space="preserve">Table 2: </w:t>
      </w:r>
      <w:r w:rsidR="00A03B43">
        <w:rPr>
          <w:rFonts w:eastAsia="Times New Roman" w:cs="Times New Roman"/>
          <w:b/>
          <w:bCs/>
          <w:color w:val="000000"/>
          <w:u w:val="single"/>
        </w:rPr>
        <w:t xml:space="preserve">Labor Market Information (LMI) </w:t>
      </w:r>
      <w:r w:rsidR="00455619">
        <w:rPr>
          <w:rFonts w:eastAsia="Times New Roman" w:cs="Times New Roman"/>
          <w:b/>
          <w:bCs/>
          <w:color w:val="000000"/>
          <w:u w:val="single"/>
        </w:rPr>
        <w:t xml:space="preserve">Benchmarks </w:t>
      </w:r>
      <w:r w:rsidR="00A03B43">
        <w:rPr>
          <w:rFonts w:eastAsia="Times New Roman" w:cs="Times New Roman"/>
          <w:b/>
          <w:bCs/>
          <w:color w:val="000000"/>
          <w:u w:val="single"/>
        </w:rPr>
        <w:t xml:space="preserve">by Geographic </w:t>
      </w:r>
      <w:r w:rsidR="00B126A7">
        <w:rPr>
          <w:rFonts w:eastAsia="Times New Roman" w:cs="Times New Roman"/>
          <w:b/>
          <w:bCs/>
          <w:color w:val="000000"/>
          <w:u w:val="single"/>
        </w:rPr>
        <w:t xml:space="preserve">Region </w:t>
      </w:r>
      <w:r w:rsidR="00A71990">
        <w:rPr>
          <w:rFonts w:eastAsia="Times New Roman" w:cs="Times New Roman"/>
          <w:b/>
          <w:color w:val="000000"/>
          <w:u w:val="single"/>
        </w:rPr>
        <w:br/>
      </w:r>
      <w:r w:rsidR="00D374D6" w:rsidRPr="00D374D6">
        <w:rPr>
          <w:rFonts w:eastAsia="Times New Roman" w:cs="Times New Roman"/>
          <w:i/>
          <w:color w:val="000000"/>
        </w:rPr>
        <w:t xml:space="preserve">(see instructions on </w:t>
      </w:r>
      <w:r w:rsidR="0047119B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page 2</w:t>
      </w:r>
      <w:r w:rsidR="00D374D6" w:rsidRPr="00D374D6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, LMI Instructions &amp; Guidance Document)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0"/>
        <w:gridCol w:w="2185"/>
        <w:gridCol w:w="2185"/>
        <w:gridCol w:w="2185"/>
        <w:gridCol w:w="2185"/>
      </w:tblGrid>
      <w:tr w:rsidR="00B75B08" w:rsidRPr="00BC42A7" w14:paraId="67F7927B" w14:textId="77777777" w:rsidTr="00307FA2">
        <w:trPr>
          <w:trHeight w:val="495"/>
        </w:trPr>
        <w:tc>
          <w:tcPr>
            <w:tcW w:w="4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EEAF6" w:themeFill="accent1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8C1261" w14:textId="77777777" w:rsidR="00B75B08" w:rsidRPr="00BC42A7" w:rsidRDefault="00B75B08" w:rsidP="00FC3B18">
            <w:pPr>
              <w:spacing w:before="75" w:after="150" w:line="240" w:lineRule="auto"/>
              <w:jc w:val="center"/>
              <w:rPr>
                <w:rFonts w:eastAsia="Times New Roman" w:cs="Segoe UI"/>
                <w:b/>
                <w:bCs/>
                <w:color w:val="000000"/>
              </w:rPr>
            </w:pPr>
            <w:r w:rsidRPr="00BC42A7">
              <w:rPr>
                <w:rFonts w:eastAsia="Times New Roman" w:cs="Segoe UI"/>
                <w:b/>
                <w:bCs/>
                <w:color w:val="000000"/>
              </w:rPr>
              <w:t>Region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EEAF6" w:themeFill="accent1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A9E475" w14:textId="2D3C6FBC" w:rsidR="00B75B08" w:rsidRPr="00BC42A7" w:rsidRDefault="00B75B08" w:rsidP="00FC3B18">
            <w:pPr>
              <w:spacing w:before="75" w:after="150" w:line="240" w:lineRule="auto"/>
              <w:jc w:val="center"/>
              <w:rPr>
                <w:rFonts w:eastAsia="Times New Roman" w:cs="Segoe UI"/>
                <w:b/>
                <w:bCs/>
                <w:color w:val="000000"/>
              </w:rPr>
            </w:pPr>
            <w:r w:rsidRPr="00BC42A7">
              <w:rPr>
                <w:rFonts w:eastAsia="Times New Roman" w:cs="Segoe UI"/>
                <w:b/>
                <w:bCs/>
                <w:color w:val="000000"/>
              </w:rPr>
              <w:t>Employment</w:t>
            </w:r>
            <w:r w:rsidRPr="00BC42A7">
              <w:rPr>
                <w:rFonts w:eastAsia="Times New Roman" w:cs="Segoe UI"/>
                <w:b/>
                <w:bCs/>
                <w:color w:val="000000"/>
              </w:rPr>
              <w:br/>
            </w:r>
            <w:r w:rsidR="00E7231E">
              <w:rPr>
                <w:rFonts w:eastAsia="Times New Roman" w:cs="Segoe UI"/>
                <w:b/>
                <w:bCs/>
                <w:color w:val="000000"/>
              </w:rPr>
              <w:t>2014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EEAF6" w:themeFill="accent1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E58CF" w14:textId="77777777" w:rsidR="00B75B08" w:rsidRPr="00BC42A7" w:rsidRDefault="00B75B08" w:rsidP="00FC3B18">
            <w:pPr>
              <w:spacing w:before="75" w:after="150" w:line="240" w:lineRule="auto"/>
              <w:jc w:val="center"/>
              <w:rPr>
                <w:rFonts w:eastAsia="Times New Roman" w:cs="Segoe UI"/>
                <w:b/>
                <w:bCs/>
                <w:color w:val="000000"/>
              </w:rPr>
            </w:pPr>
            <w:r w:rsidRPr="00BC42A7">
              <w:rPr>
                <w:rFonts w:eastAsia="Times New Roman" w:cs="Segoe UI"/>
                <w:b/>
                <w:bCs/>
                <w:color w:val="000000"/>
              </w:rPr>
              <w:t>Employment</w:t>
            </w:r>
            <w:r w:rsidRPr="00BC42A7">
              <w:rPr>
                <w:rFonts w:eastAsia="Times New Roman" w:cs="Segoe UI"/>
                <w:b/>
                <w:bCs/>
                <w:color w:val="000000"/>
              </w:rPr>
              <w:br/>
              <w:t>Change 2012-22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EEAF6" w:themeFill="accent1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91E439" w14:textId="77777777" w:rsidR="00B75B08" w:rsidRPr="00BC42A7" w:rsidRDefault="00B75B08" w:rsidP="00FC3B18">
            <w:pPr>
              <w:spacing w:before="75" w:after="150" w:line="240" w:lineRule="auto"/>
              <w:jc w:val="center"/>
              <w:rPr>
                <w:rFonts w:eastAsia="Times New Roman" w:cs="Segoe UI"/>
                <w:b/>
                <w:bCs/>
                <w:color w:val="000000"/>
              </w:rPr>
            </w:pPr>
            <w:r w:rsidRPr="00BC42A7">
              <w:rPr>
                <w:rFonts w:eastAsia="Times New Roman" w:cs="Segoe UI"/>
                <w:b/>
                <w:bCs/>
                <w:color w:val="000000"/>
              </w:rPr>
              <w:t>Employment</w:t>
            </w:r>
            <w:r w:rsidRPr="00BC42A7">
              <w:rPr>
                <w:rFonts w:eastAsia="Times New Roman" w:cs="Segoe UI"/>
                <w:b/>
                <w:bCs/>
                <w:color w:val="000000"/>
              </w:rPr>
              <w:br/>
              <w:t>Growth 2012-22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EEAF6" w:themeFill="accent1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ED558A" w14:textId="0182F991" w:rsidR="00B75B08" w:rsidRPr="00BC42A7" w:rsidRDefault="00B75B08" w:rsidP="00FC3B18">
            <w:pPr>
              <w:spacing w:before="75" w:after="150" w:line="240" w:lineRule="auto"/>
              <w:jc w:val="center"/>
              <w:rPr>
                <w:rFonts w:eastAsia="Times New Roman" w:cs="Segoe UI"/>
                <w:b/>
                <w:bCs/>
                <w:color w:val="000000"/>
              </w:rPr>
            </w:pPr>
            <w:r w:rsidRPr="00BC42A7">
              <w:rPr>
                <w:rFonts w:eastAsia="Times New Roman" w:cs="Segoe UI"/>
                <w:b/>
                <w:bCs/>
                <w:color w:val="000000"/>
              </w:rPr>
              <w:t>Avg. Wage</w:t>
            </w:r>
            <w:r w:rsidRPr="00BC42A7">
              <w:rPr>
                <w:rFonts w:eastAsia="Times New Roman" w:cs="Segoe UI"/>
                <w:b/>
                <w:bCs/>
                <w:color w:val="000000"/>
              </w:rPr>
              <w:br/>
            </w:r>
            <w:r w:rsidR="00E7231E">
              <w:rPr>
                <w:rFonts w:eastAsia="Times New Roman" w:cs="Segoe UI"/>
                <w:b/>
                <w:bCs/>
                <w:color w:val="000000"/>
              </w:rPr>
              <w:t>2014</w:t>
            </w:r>
          </w:p>
        </w:tc>
      </w:tr>
      <w:tr w:rsidR="00B75B08" w:rsidRPr="00BC42A7" w14:paraId="5F381AED" w14:textId="77777777" w:rsidTr="00307FA2">
        <w:tc>
          <w:tcPr>
            <w:tcW w:w="4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BB628F" w14:textId="77777777" w:rsidR="00B75B08" w:rsidRPr="00BC42A7" w:rsidRDefault="00B75B08" w:rsidP="00FC3B18">
            <w:pPr>
              <w:spacing w:after="0" w:line="240" w:lineRule="auto"/>
              <w:rPr>
                <w:rFonts w:eastAsia="Times New Roman" w:cs="Segoe UI"/>
                <w:color w:val="000000"/>
              </w:rPr>
            </w:pPr>
            <w:r w:rsidRPr="00BC42A7">
              <w:rPr>
                <w:rFonts w:eastAsia="Times New Roman" w:cs="Segoe UI"/>
                <w:color w:val="000000"/>
              </w:rPr>
              <w:t>United States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C0D4AC" w14:textId="7DB4B8BB" w:rsidR="00B75B08" w:rsidRPr="00BC42A7" w:rsidRDefault="003A37E0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0D4CF4">
              <w:rPr>
                <w:rFonts w:cs="Segoe UI"/>
                <w:color w:val="000000"/>
              </w:rPr>
              <w:t>135,128,260</w:t>
            </w:r>
            <w:r w:rsidR="00B75B08" w:rsidRPr="00BC42A7">
              <w:rPr>
                <w:rFonts w:eastAsia="Times New Roman" w:cs="Segoe UI"/>
                <w:color w:val="000000"/>
              </w:rPr>
              <w:t>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ABCAAF" w14:textId="77777777" w:rsidR="00B75B08" w:rsidRPr="00BC42A7" w:rsidRDefault="00B75B08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eastAsia="Times New Roman" w:cs="Segoe UI"/>
                <w:color w:val="000000"/>
              </w:rPr>
              <w:t>15,628,000      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8B93AF" w14:textId="77777777" w:rsidR="00B75B08" w:rsidRPr="00BC42A7" w:rsidRDefault="00B75B08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eastAsia="Times New Roman" w:cs="Segoe UI"/>
                <w:color w:val="000000"/>
              </w:rPr>
              <w:t>10.8%     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AD80EF" w14:textId="46D3F2FA" w:rsidR="00B75B08" w:rsidRPr="00BC42A7" w:rsidRDefault="00B75B08" w:rsidP="003A37E0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eastAsia="Times New Roman" w:cs="Segoe UI"/>
                <w:color w:val="000000"/>
              </w:rPr>
              <w:t>$</w:t>
            </w:r>
            <w:r w:rsidR="003A37E0">
              <w:rPr>
                <w:rFonts w:eastAsia="Times New Roman" w:cs="Segoe UI"/>
                <w:color w:val="000000"/>
              </w:rPr>
              <w:t>47,230</w:t>
            </w:r>
            <w:r w:rsidRPr="00BC42A7">
              <w:rPr>
                <w:rFonts w:eastAsia="Times New Roman" w:cs="Segoe UI"/>
                <w:color w:val="000000"/>
              </w:rPr>
              <w:t>    </w:t>
            </w:r>
          </w:p>
        </w:tc>
      </w:tr>
      <w:tr w:rsidR="00B75B08" w:rsidRPr="00BC42A7" w14:paraId="4645BDEA" w14:textId="77777777" w:rsidTr="00307FA2">
        <w:tc>
          <w:tcPr>
            <w:tcW w:w="4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DE898" w14:textId="77777777" w:rsidR="00B75B08" w:rsidRPr="00BC42A7" w:rsidRDefault="00B75B08" w:rsidP="00FC3B18">
            <w:pPr>
              <w:spacing w:after="0" w:line="240" w:lineRule="auto"/>
              <w:rPr>
                <w:rFonts w:eastAsia="Times New Roman" w:cs="Segoe UI"/>
                <w:color w:val="000000"/>
              </w:rPr>
            </w:pPr>
            <w:r w:rsidRPr="00BC42A7">
              <w:rPr>
                <w:rFonts w:eastAsia="Times New Roman" w:cs="Segoe UI"/>
                <w:color w:val="000000"/>
              </w:rPr>
              <w:t>Delaware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80B150" w14:textId="1B83BBBB" w:rsidR="00B75B08" w:rsidRPr="00BC42A7" w:rsidRDefault="003A37E0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0D4CF4">
              <w:rPr>
                <w:rFonts w:cs="Segoe UI"/>
                <w:color w:val="000000"/>
              </w:rPr>
              <w:t>424,330   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1F1658" w14:textId="77777777" w:rsidR="00B75B08" w:rsidRPr="00BC42A7" w:rsidRDefault="00B75B08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eastAsia="Times New Roman" w:cs="Segoe UI"/>
                <w:color w:val="000000"/>
              </w:rPr>
              <w:t>40,900      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8DE00" w14:textId="77777777" w:rsidR="00B75B08" w:rsidRPr="00BC42A7" w:rsidRDefault="00B75B08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eastAsia="Times New Roman" w:cs="Segoe UI"/>
                <w:color w:val="000000"/>
              </w:rPr>
              <w:t>9.4%     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596A0A" w14:textId="6CC63078" w:rsidR="00B75B08" w:rsidRPr="00BC42A7" w:rsidRDefault="003A37E0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0D4CF4">
              <w:rPr>
                <w:rFonts w:cs="Segoe UI"/>
                <w:color w:val="000000"/>
              </w:rPr>
              <w:t>$49,520</w:t>
            </w:r>
            <w:r w:rsidR="00B75B08" w:rsidRPr="00BC42A7">
              <w:rPr>
                <w:rFonts w:eastAsia="Times New Roman" w:cs="Segoe UI"/>
                <w:color w:val="000000"/>
              </w:rPr>
              <w:t>    </w:t>
            </w:r>
          </w:p>
        </w:tc>
      </w:tr>
      <w:tr w:rsidR="00196B43" w:rsidRPr="00BC42A7" w14:paraId="17F76605" w14:textId="77777777" w:rsidTr="00307FA2">
        <w:tc>
          <w:tcPr>
            <w:tcW w:w="4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9385A5" w14:textId="149B0F19" w:rsidR="00196B43" w:rsidRPr="00BC42A7" w:rsidRDefault="00196B43" w:rsidP="00FC3B18">
            <w:pPr>
              <w:spacing w:after="0" w:line="240" w:lineRule="auto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District of Columbia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7B060C" w14:textId="1B9EF00D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674,650   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A3E4FC" w14:textId="3B6BDE84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57,930      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945D3C" w14:textId="344445D8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7.7%     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C9776D" w14:textId="3A384BC8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$78,580    </w:t>
            </w:r>
          </w:p>
        </w:tc>
      </w:tr>
      <w:tr w:rsidR="00196B43" w:rsidRPr="00BC42A7" w14:paraId="39F2EC25" w14:textId="77777777" w:rsidTr="00307FA2">
        <w:tc>
          <w:tcPr>
            <w:tcW w:w="4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183FE" w14:textId="0E2A154C" w:rsidR="00196B43" w:rsidRPr="00BC42A7" w:rsidRDefault="00196B43" w:rsidP="00FC3B18">
            <w:pPr>
              <w:spacing w:after="0" w:line="240" w:lineRule="auto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Maryland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016744" w14:textId="7F7FB8D5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2,557,510   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E353D3" w14:textId="61E2B45E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189,370      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13A15E" w14:textId="512E770E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6.1%     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226113" w14:textId="7E9A260E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$53,470    </w:t>
            </w:r>
          </w:p>
        </w:tc>
      </w:tr>
      <w:tr w:rsidR="00196B43" w:rsidRPr="00BC42A7" w14:paraId="257994BA" w14:textId="77777777" w:rsidTr="00307FA2">
        <w:tc>
          <w:tcPr>
            <w:tcW w:w="4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ED98AB" w14:textId="7AB2DC58" w:rsidR="00196B43" w:rsidRPr="00BC42A7" w:rsidRDefault="00196B43" w:rsidP="00FC3B18">
            <w:pPr>
              <w:spacing w:after="0" w:line="240" w:lineRule="auto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New Jersey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00684A0" w14:textId="3ABC2683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3,869,260   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51AEA49" w14:textId="5F1E43E2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313,190      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9ABC2D" w14:textId="271F1C34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7.5%     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F31D308" w14:textId="6F89CE54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$53,920    </w:t>
            </w:r>
          </w:p>
        </w:tc>
      </w:tr>
      <w:tr w:rsidR="00196B43" w:rsidRPr="00BC42A7" w14:paraId="38BEC9C3" w14:textId="77777777" w:rsidTr="00307FA2">
        <w:tc>
          <w:tcPr>
            <w:tcW w:w="4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6FE5D3" w14:textId="14BD6BBF" w:rsidR="00196B43" w:rsidRPr="00BC42A7" w:rsidRDefault="00196B43" w:rsidP="00FC3B18">
            <w:pPr>
              <w:spacing w:after="0" w:line="240" w:lineRule="auto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Pennsylvania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D0A0CC" w14:textId="41DB4232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5,653,840   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B5A772" w14:textId="138760C4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467,940      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E5AB7C" w14:textId="4B98088F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7.7%     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F0A38A" w14:textId="228D291F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$45,750    </w:t>
            </w:r>
          </w:p>
        </w:tc>
      </w:tr>
      <w:tr w:rsidR="00196B43" w:rsidRPr="00BC42A7" w14:paraId="19537FEB" w14:textId="77777777" w:rsidTr="00307FA2">
        <w:tc>
          <w:tcPr>
            <w:tcW w:w="4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A714CF" w14:textId="1C6F5591" w:rsidR="00196B43" w:rsidRPr="00BC42A7" w:rsidRDefault="00196B43" w:rsidP="00FC3B18">
            <w:pPr>
              <w:spacing w:after="0" w:line="240" w:lineRule="auto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Virginia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D5F3C1" w14:textId="76326434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3,648,490   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F539E9" w14:textId="063B1881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534,210      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BB70CB" w14:textId="2427B8D9" w:rsidR="00196B43" w:rsidRPr="00BC42A7" w:rsidRDefault="00196B43" w:rsidP="00FC3B18">
            <w:pPr>
              <w:spacing w:after="0" w:line="240" w:lineRule="auto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>13.5%           </w:t>
            </w:r>
          </w:p>
        </w:tc>
        <w:tc>
          <w:tcPr>
            <w:tcW w:w="2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E2EAB9" w14:textId="2FED00FA" w:rsidR="00196B43" w:rsidRPr="00BC42A7" w:rsidRDefault="001F6015" w:rsidP="001F6015">
            <w:pPr>
              <w:tabs>
                <w:tab w:val="left" w:pos="1673"/>
              </w:tabs>
              <w:spacing w:after="0" w:line="240" w:lineRule="auto"/>
              <w:ind w:right="210"/>
              <w:jc w:val="right"/>
              <w:rPr>
                <w:rFonts w:eastAsia="Times New Roman" w:cs="Segoe UI"/>
                <w:color w:val="000000"/>
              </w:rPr>
            </w:pPr>
            <w:r w:rsidRPr="00BC42A7">
              <w:rPr>
                <w:rFonts w:cs="Segoe UI"/>
                <w:color w:val="000000"/>
              </w:rPr>
              <w:t xml:space="preserve">    $50,750</w:t>
            </w:r>
          </w:p>
        </w:tc>
      </w:tr>
    </w:tbl>
    <w:p w14:paraId="33792073" w14:textId="77777777" w:rsidR="00B75B08" w:rsidRPr="00BC42A7" w:rsidRDefault="00B75B08" w:rsidP="00B75B08">
      <w:pPr>
        <w:spacing w:after="0" w:line="276" w:lineRule="auto"/>
        <w:rPr>
          <w:rFonts w:eastAsia="Times New Roman" w:cs="Times New Roman"/>
          <w:color w:val="000000"/>
        </w:rPr>
      </w:pPr>
    </w:p>
    <w:tbl>
      <w:tblPr>
        <w:tblW w:w="13050" w:type="dxa"/>
        <w:tblLayout w:type="fixed"/>
        <w:tblLook w:val="04A0" w:firstRow="1" w:lastRow="0" w:firstColumn="1" w:lastColumn="0" w:noHBand="0" w:noVBand="1"/>
      </w:tblPr>
      <w:tblGrid>
        <w:gridCol w:w="1368"/>
        <w:gridCol w:w="3510"/>
        <w:gridCol w:w="924"/>
        <w:gridCol w:w="924"/>
        <w:gridCol w:w="1032"/>
        <w:gridCol w:w="1332"/>
        <w:gridCol w:w="1350"/>
        <w:gridCol w:w="1350"/>
        <w:gridCol w:w="1260"/>
      </w:tblGrid>
      <w:tr w:rsidR="00FC3B18" w:rsidRPr="00BC42A7" w14:paraId="7657BE7C" w14:textId="77777777" w:rsidTr="00246F9E">
        <w:trPr>
          <w:trHeight w:val="372"/>
        </w:trPr>
        <w:tc>
          <w:tcPr>
            <w:tcW w:w="77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18154" w14:textId="33C539B2" w:rsidR="00FC3B18" w:rsidRPr="00BC42A7" w:rsidRDefault="00A71990" w:rsidP="00E56FFC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</w:rPr>
              <w:lastRenderedPageBreak/>
              <w:t xml:space="preserve">Table 3: LMI by </w:t>
            </w:r>
            <w:r w:rsidRPr="00F81FCE">
              <w:rPr>
                <w:rFonts w:eastAsia="Times New Roman" w:cs="Times New Roman"/>
                <w:b/>
                <w:color w:val="000000"/>
                <w:u w:val="single"/>
              </w:rPr>
              <w:t>Career Cluster &amp; Pathway</w:t>
            </w:r>
            <w:r>
              <w:rPr>
                <w:rFonts w:eastAsia="Times New Roman" w:cs="Times New Roman"/>
                <w:b/>
                <w:color w:val="000000"/>
                <w:u w:val="single"/>
              </w:rPr>
              <w:br/>
            </w:r>
            <w:r w:rsidR="00D374D6" w:rsidRPr="00D374D6">
              <w:rPr>
                <w:rFonts w:eastAsia="Times New Roman" w:cs="Times New Roman"/>
                <w:i/>
                <w:color w:val="000000"/>
              </w:rPr>
              <w:t xml:space="preserve">(see instructions on </w:t>
            </w:r>
            <w:r w:rsidR="00D374D6" w:rsidRPr="00D374D6">
              <w:rPr>
                <w:rFonts w:eastAsia="Times New Roman" w:cs="Times New Roman"/>
                <w:bCs/>
                <w:i/>
                <w:color w:val="000000"/>
                <w:shd w:val="clear" w:color="auto" w:fill="FFFFFF" w:themeFill="background1"/>
              </w:rPr>
              <w:t xml:space="preserve">page </w:t>
            </w:r>
            <w:r w:rsidR="00E56FFC">
              <w:rPr>
                <w:rFonts w:eastAsia="Times New Roman" w:cs="Times New Roman"/>
                <w:bCs/>
                <w:i/>
                <w:color w:val="000000"/>
                <w:shd w:val="clear" w:color="auto" w:fill="FFFFFF" w:themeFill="background1"/>
              </w:rPr>
              <w:t>4</w:t>
            </w:r>
            <w:r w:rsidR="00D374D6" w:rsidRPr="00D374D6">
              <w:rPr>
                <w:rFonts w:eastAsia="Times New Roman" w:cs="Times New Roman"/>
                <w:bCs/>
                <w:i/>
                <w:color w:val="000000"/>
                <w:shd w:val="clear" w:color="auto" w:fill="FFFFFF" w:themeFill="background1"/>
              </w:rPr>
              <w:t>, LMI Instructions &amp; Guidance Document)</w:t>
            </w: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B311C" w14:textId="77777777" w:rsidR="00FC3B18" w:rsidRPr="00BC42A7" w:rsidRDefault="00FC3B18" w:rsidP="00FC3B18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C42A7">
              <w:rPr>
                <w:rFonts w:eastAsia="Times New Roman" w:cs="Times New Roman"/>
                <w:b/>
                <w:bCs/>
                <w:color w:val="000000"/>
              </w:rPr>
              <w:t>2012-2022</w:t>
            </w:r>
          </w:p>
        </w:tc>
      </w:tr>
      <w:tr w:rsidR="00FC3B18" w:rsidRPr="00BC42A7" w14:paraId="137011E5" w14:textId="77777777" w:rsidTr="00246F9E">
        <w:trPr>
          <w:trHeight w:val="655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33878C" w14:textId="77777777" w:rsidR="00FC3B18" w:rsidRPr="00162DCA" w:rsidRDefault="00FC3B18" w:rsidP="00FC3B1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Cluster Code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6E3B9F0" w14:textId="77777777" w:rsidR="00FC3B18" w:rsidRPr="00162DCA" w:rsidRDefault="00FC3B18" w:rsidP="00FC3B1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Cluster/Pathway Title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60E8E1" w14:textId="77777777" w:rsidR="00FC3B18" w:rsidRPr="00162DCA" w:rsidRDefault="00FC3B18" w:rsidP="00FC3B1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High Skill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D2DE86" w14:textId="77777777" w:rsidR="00FC3B18" w:rsidRPr="00162DCA" w:rsidRDefault="00FC3B18" w:rsidP="00FC3B1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High Wage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AF8BE8" w14:textId="77777777" w:rsidR="00FC3B18" w:rsidRPr="00162DCA" w:rsidRDefault="00FC3B18" w:rsidP="00FC3B1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High Demand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A96F2DD" w14:textId="3A1D88A6" w:rsidR="00FC3B18" w:rsidRPr="00162DCA" w:rsidRDefault="00FC3B18" w:rsidP="00FC3B1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Employment </w:t>
            </w:r>
            <w:r w:rsidR="00E7231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EFC8DF" w14:textId="77777777" w:rsidR="00FC3B18" w:rsidRPr="00162DCA" w:rsidRDefault="00FC3B18" w:rsidP="00FC3B1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Employment Change           2012-2022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8FA02E2" w14:textId="77777777" w:rsidR="00FC3B18" w:rsidRPr="00162DCA" w:rsidRDefault="00FC3B18" w:rsidP="00FC3B1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Employment Growth        2012-2022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4D52D8" w14:textId="793BF0AD" w:rsidR="00FC3B18" w:rsidRPr="00162DCA" w:rsidRDefault="00FC3B18" w:rsidP="00FC3B1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Average Wage </w:t>
            </w:r>
            <w:r w:rsidR="00E7231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</w:tr>
      <w:tr w:rsidR="003A37E0" w:rsidRPr="00BC42A7" w14:paraId="4C47D1CC" w14:textId="77777777" w:rsidTr="007F0C64">
        <w:trPr>
          <w:trHeight w:val="336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4779" w14:textId="17C2ACB7" w:rsidR="003A37E0" w:rsidRPr="00D738AE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1B929" w14:textId="704FB5E1" w:rsidR="003A37E0" w:rsidRPr="00D738AE" w:rsidRDefault="003A37E0" w:rsidP="003A37E0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Education &amp; Training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2953" w14:textId="30D0B45E" w:rsidR="003A37E0" w:rsidRPr="00D738AE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F6F2" w14:textId="2908B925" w:rsidR="003A37E0" w:rsidRPr="00D738AE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878B0" w14:textId="564A6658" w:rsidR="003A37E0" w:rsidRPr="00D738AE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A917" w14:textId="2268A579" w:rsidR="003A37E0" w:rsidRPr="00D738AE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26,033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B730" w14:textId="23A0E741" w:rsidR="003A37E0" w:rsidRPr="00D738AE" w:rsidRDefault="003A37E0" w:rsidP="003A37E0">
            <w:pPr>
              <w:spacing w:after="0" w:line="276" w:lineRule="auto"/>
              <w:ind w:firstLineChars="200" w:firstLine="4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1,817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927E" w14:textId="6ED46959" w:rsidR="003A37E0" w:rsidRPr="00D738AE" w:rsidRDefault="003A37E0" w:rsidP="003A37E0">
            <w:pPr>
              <w:spacing w:after="0" w:line="276" w:lineRule="auto"/>
              <w:ind w:firstLineChars="300" w:firstLine="6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DAE63" w14:textId="65DA7922" w:rsidR="003A37E0" w:rsidRPr="00D738AE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$55,372</w:t>
            </w:r>
          </w:p>
        </w:tc>
      </w:tr>
      <w:tr w:rsidR="007F0C64" w:rsidRPr="00BC42A7" w14:paraId="383EFF7D" w14:textId="77777777" w:rsidTr="00F2370F">
        <w:trPr>
          <w:trHeight w:val="336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F73B" w14:textId="77777777" w:rsidR="007F0C64" w:rsidRPr="0059320B" w:rsidRDefault="007F0C64" w:rsidP="00FC3B1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A0024" w14:textId="6E99DD53" w:rsidR="007F0C64" w:rsidRPr="0059320B" w:rsidRDefault="007F0C64" w:rsidP="00F2370F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9320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Rank Select Career Cluster by the </w:t>
            </w:r>
            <w:r w:rsidR="00F17444" w:rsidRPr="0059320B">
              <w:rPr>
                <w:rFonts w:eastAsia="Times New Roman" w:cs="Times New Roman"/>
                <w:color w:val="000000"/>
                <w:sz w:val="20"/>
                <w:szCs w:val="20"/>
              </w:rPr>
              <w:t>Following Categories</w:t>
            </w:r>
            <w:r w:rsidRPr="0059320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-&gt;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285E" w14:textId="4B6E456F" w:rsidR="007F0C64" w:rsidRPr="00C67008" w:rsidRDefault="002D4925" w:rsidP="001834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(7</w:t>
            </w:r>
            <w:r w:rsidR="007F0C64" w:rsidRPr="00C6700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of 16)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55F8" w14:textId="75FDB02A" w:rsidR="007F0C64" w:rsidRPr="00C67008" w:rsidRDefault="002D4925" w:rsidP="001834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(11 </w:t>
            </w:r>
            <w:r w:rsidR="007F0C64" w:rsidRPr="00C6700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of 16)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F14B" w14:textId="0B3448B5" w:rsidR="007F0C64" w:rsidRPr="00C67008" w:rsidRDefault="002D4925" w:rsidP="001834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(9 </w:t>
            </w:r>
            <w:r w:rsidR="007F0C64" w:rsidRPr="00C6700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of 16)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0C127" w14:textId="7F223775" w:rsidR="007F0C64" w:rsidRPr="00C67008" w:rsidRDefault="002D4925" w:rsidP="0018344A">
            <w:pPr>
              <w:spacing w:after="0" w:line="276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(7</w:t>
            </w:r>
            <w:r w:rsidR="007F0C64" w:rsidRPr="00C6700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of 16)</w:t>
            </w:r>
          </w:p>
        </w:tc>
      </w:tr>
      <w:tr w:rsidR="003A37E0" w:rsidRPr="00BC42A7" w14:paraId="370541C4" w14:textId="77777777" w:rsidTr="007F0C64">
        <w:trPr>
          <w:trHeight w:val="336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409" w14:textId="3095444D" w:rsidR="003A37E0" w:rsidRPr="00D738AE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38A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(Pathway #)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632A0CF" w14:textId="05CC6346" w:rsidR="003A37E0" w:rsidRPr="00D738AE" w:rsidRDefault="003A37E0" w:rsidP="003A37E0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Teaching/Training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50027D" w14:textId="28CA8CB7" w:rsidR="003A37E0" w:rsidRPr="00D738AE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518D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B7C2E5B" w14:textId="72C84BE8" w:rsidR="003A37E0" w:rsidRPr="00D738AE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518D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60B34B2" w14:textId="01AFF1C9" w:rsidR="003A37E0" w:rsidRPr="00D738AE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518D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6F17020" w14:textId="0D092BCE" w:rsidR="003A37E0" w:rsidRPr="00D738AE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21,956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7673ED5" w14:textId="33E23A3B" w:rsidR="003A37E0" w:rsidRPr="00D738AE" w:rsidRDefault="003A37E0" w:rsidP="003A37E0">
            <w:pPr>
              <w:spacing w:after="0" w:line="276" w:lineRule="auto"/>
              <w:ind w:firstLineChars="200" w:firstLine="4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1,538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EE26EF5" w14:textId="08E0AC59" w:rsidR="003A37E0" w:rsidRPr="00D738AE" w:rsidRDefault="003A37E0" w:rsidP="003A37E0">
            <w:pPr>
              <w:spacing w:after="0" w:line="276" w:lineRule="auto"/>
              <w:ind w:firstLineChars="300" w:firstLine="6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14:paraId="4FC79754" w14:textId="2E408DAD" w:rsidR="003A37E0" w:rsidRPr="00D738AE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$51,360</w:t>
            </w:r>
          </w:p>
        </w:tc>
      </w:tr>
      <w:tr w:rsidR="008334B0" w:rsidRPr="00BC42A7" w14:paraId="14326CBE" w14:textId="77777777" w:rsidTr="00F2370F">
        <w:trPr>
          <w:trHeight w:val="336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6BFA" w14:textId="77777777" w:rsidR="008334B0" w:rsidRPr="0059320B" w:rsidRDefault="008334B0" w:rsidP="00FC3B1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0F81FC" w14:textId="4F8C412D" w:rsidR="008334B0" w:rsidRPr="0059320B" w:rsidRDefault="008334B0" w:rsidP="00F2370F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9320B">
              <w:rPr>
                <w:rFonts w:eastAsia="Times New Roman" w:cs="Times New Roman"/>
                <w:color w:val="000000"/>
                <w:sz w:val="20"/>
                <w:szCs w:val="20"/>
              </w:rPr>
              <w:t>Rank Select Career Pathway by the Following Categories -&gt;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FA88D9" w14:textId="6283A6A9" w:rsidR="008334B0" w:rsidRPr="00E05F3A" w:rsidRDefault="002D4925" w:rsidP="001834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1 of 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60C0AD" w14:textId="39F8A56F" w:rsidR="008334B0" w:rsidRPr="00E05F3A" w:rsidRDefault="002D4925" w:rsidP="001834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1 of 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C9081" w14:textId="1AB7948E" w:rsidR="008334B0" w:rsidRPr="00E05F3A" w:rsidRDefault="002D4925" w:rsidP="001834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2 of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D06EAA" w14:textId="0667319F" w:rsidR="008334B0" w:rsidRPr="00E05F3A" w:rsidRDefault="00353FCA" w:rsidP="001834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2 of 3</w:t>
            </w:r>
          </w:p>
        </w:tc>
      </w:tr>
      <w:tr w:rsidR="003A37E0" w:rsidRPr="00BC42A7" w14:paraId="25B21360" w14:textId="77777777" w:rsidTr="001A361A">
        <w:trPr>
          <w:trHeight w:val="336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C448" w14:textId="77777777" w:rsidR="003A37E0" w:rsidRPr="0059320B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9320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4E4EF451" w14:textId="7DE37614" w:rsidR="003A37E0" w:rsidRPr="0059320B" w:rsidRDefault="003A37E0" w:rsidP="003A37E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Teaching/Training</w:t>
            </w:r>
            <w:r w:rsidRPr="0059320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– Mid-Atlantic States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FFB26C" w14:textId="32FC7412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27ED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6CC1C2" w14:textId="3358F6F0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27ED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052183A" w14:textId="432752A3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27ED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878405C" w14:textId="7DC99FB6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941,360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849FAB7" w14:textId="3B010B0B" w:rsidR="003A37E0" w:rsidRPr="00E05F3A" w:rsidRDefault="003A37E0" w:rsidP="003A37E0">
            <w:pPr>
              <w:spacing w:after="0" w:line="276" w:lineRule="auto"/>
              <w:ind w:firstLineChars="200" w:firstLine="4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90,578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9240A89" w14:textId="32117DA3" w:rsidR="003A37E0" w:rsidRPr="00E05F3A" w:rsidRDefault="003A37E0" w:rsidP="003A37E0">
            <w:pPr>
              <w:spacing w:after="0" w:line="276" w:lineRule="auto"/>
              <w:ind w:firstLineChars="300" w:firstLine="6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14:paraId="46B4EB42" w14:textId="640DAB7B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$55,656</w:t>
            </w:r>
          </w:p>
        </w:tc>
      </w:tr>
      <w:tr w:rsidR="003A37E0" w:rsidRPr="00BC42A7" w14:paraId="019101D3" w14:textId="77777777" w:rsidTr="001A361A">
        <w:trPr>
          <w:trHeight w:val="336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F717" w14:textId="77777777" w:rsidR="003A37E0" w:rsidRPr="0059320B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234C1C40" w14:textId="5938E289" w:rsidR="003A37E0" w:rsidRPr="0059320B" w:rsidRDefault="003A37E0" w:rsidP="003A37E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9320B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Teaching/Training</w:t>
            </w:r>
            <w:r w:rsidRPr="0059320B">
              <w:rPr>
                <w:rFonts w:eastAsia="Times New Roman" w:cs="Times New Roman"/>
                <w:color w:val="000000"/>
                <w:sz w:val="20"/>
                <w:szCs w:val="20"/>
              </w:rPr>
              <w:t>– United States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E4967F" w14:textId="021F9933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6E5869" w14:textId="1E5E98DB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142788E" w14:textId="55B2B2D5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E17B334" w14:textId="5B8E8FEE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7,358,520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E42C700" w14:textId="66AF1773" w:rsidR="003A37E0" w:rsidRPr="00E05F3A" w:rsidRDefault="003A37E0" w:rsidP="003A37E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1,010,400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2D9479C" w14:textId="068642F9" w:rsidR="003A37E0" w:rsidRPr="00E05F3A" w:rsidRDefault="003A37E0" w:rsidP="003A37E0">
            <w:pPr>
              <w:spacing w:after="0" w:line="276" w:lineRule="auto"/>
              <w:ind w:firstLineChars="300" w:firstLine="6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11.3%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14:paraId="349CE1D9" w14:textId="67C4098B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$53,826</w:t>
            </w:r>
          </w:p>
        </w:tc>
      </w:tr>
      <w:tr w:rsidR="003A37E0" w:rsidRPr="00BC42A7" w14:paraId="47580338" w14:textId="77777777" w:rsidTr="00DC03D4">
        <w:trPr>
          <w:trHeight w:val="336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2800" w14:textId="40E15377" w:rsidR="003A37E0" w:rsidRPr="0059320B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9320B">
              <w:rPr>
                <w:rFonts w:eastAsia="Times New Roman" w:cs="Times New Roman"/>
                <w:color w:val="000000"/>
                <w:sz w:val="20"/>
                <w:szCs w:val="20"/>
              </w:rPr>
              <w:t>(Pathway #)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84224" w14:textId="53442E03" w:rsidR="003A37E0" w:rsidRPr="0059320B" w:rsidRDefault="003A37E0" w:rsidP="003A37E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Administration and Administrative Support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9E5D7B" w14:textId="5D6291DF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752202" w14:textId="211777C4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DA676FA" w14:textId="77777777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1CE7" w14:textId="1D818D14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1,407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99B8" w14:textId="04F124CE" w:rsidR="003A37E0" w:rsidRPr="00E05F3A" w:rsidRDefault="003A37E0" w:rsidP="003A37E0">
            <w:pPr>
              <w:spacing w:after="0" w:line="276" w:lineRule="auto"/>
              <w:ind w:firstLineChars="200" w:firstLine="4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1,815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EC7A" w14:textId="482ABD69" w:rsidR="003A37E0" w:rsidRPr="00E05F3A" w:rsidRDefault="003A37E0" w:rsidP="003A37E0">
            <w:pPr>
              <w:spacing w:after="0" w:line="276" w:lineRule="auto"/>
              <w:ind w:firstLineChars="300" w:firstLine="6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1ECD8" w14:textId="76779243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$55,360</w:t>
            </w:r>
          </w:p>
        </w:tc>
      </w:tr>
      <w:tr w:rsidR="003A37E0" w:rsidRPr="00BC42A7" w14:paraId="20D4445B" w14:textId="77777777" w:rsidTr="008F6CF3">
        <w:trPr>
          <w:trHeight w:val="242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E91A" w14:textId="1F4BDF37" w:rsidR="003A37E0" w:rsidRPr="0059320B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9320B">
              <w:rPr>
                <w:rFonts w:eastAsia="Times New Roman" w:cs="Times New Roman"/>
                <w:color w:val="000000"/>
                <w:sz w:val="20"/>
                <w:szCs w:val="20"/>
              </w:rPr>
              <w:t>(Pathway #)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42335B" w14:textId="55D4CF65" w:rsidR="003A37E0" w:rsidRPr="0059320B" w:rsidRDefault="003A37E0" w:rsidP="003A37E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Professional Services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7B90AA4" w14:textId="50ADBFD5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0DA1496" w14:textId="3D27937C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954A4A0" w14:textId="077EC30A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3158" w14:textId="6B8B0992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2,670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BEAF" w14:textId="4FFB22DE" w:rsidR="003A37E0" w:rsidRPr="00E05F3A" w:rsidRDefault="003A37E0" w:rsidP="003A37E0">
            <w:pPr>
              <w:spacing w:after="0" w:line="276" w:lineRule="auto"/>
              <w:ind w:firstLineChars="200" w:firstLine="4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FE84" w14:textId="7075902A" w:rsidR="003A37E0" w:rsidRPr="00E05F3A" w:rsidRDefault="003A37E0" w:rsidP="003A37E0">
            <w:pPr>
              <w:spacing w:after="0" w:line="276" w:lineRule="auto"/>
              <w:ind w:firstLineChars="300" w:firstLine="6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8.6%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8D79C" w14:textId="69287C36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$60,393</w:t>
            </w:r>
          </w:p>
        </w:tc>
      </w:tr>
    </w:tbl>
    <w:p w14:paraId="6BF62FE3" w14:textId="77777777" w:rsidR="000D3D1B" w:rsidRDefault="000D3D1B" w:rsidP="000D3D1B">
      <w:pPr>
        <w:spacing w:before="240" w:after="0" w:line="276" w:lineRule="auto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 xml:space="preserve">Table 3: LMI by </w:t>
      </w:r>
      <w:r w:rsidRPr="00F81FCE">
        <w:rPr>
          <w:rFonts w:eastAsia="Times New Roman" w:cs="Times New Roman"/>
          <w:b/>
          <w:color w:val="000000"/>
          <w:u w:val="single"/>
        </w:rPr>
        <w:t>Career Cluster &amp; Pathway</w:t>
      </w:r>
      <w:r>
        <w:rPr>
          <w:rFonts w:eastAsia="Times New Roman" w:cs="Times New Roman"/>
          <w:b/>
          <w:color w:val="000000"/>
          <w:u w:val="single"/>
        </w:rPr>
        <w:t xml:space="preserve"> (Questions/Analysis)</w:t>
      </w:r>
    </w:p>
    <w:p w14:paraId="5E980323" w14:textId="77777777" w:rsidR="000D3D1B" w:rsidRPr="00BC42A7" w:rsidRDefault="000D3D1B" w:rsidP="000D3D1B">
      <w:pPr>
        <w:spacing w:after="0" w:line="276" w:lineRule="auto"/>
        <w:rPr>
          <w:rFonts w:eastAsia="Times New Roman" w:cs="Times New Roman"/>
          <w:color w:val="000000"/>
        </w:rPr>
      </w:pPr>
      <w:r w:rsidRPr="00D374D6">
        <w:rPr>
          <w:rFonts w:eastAsia="Times New Roman" w:cs="Times New Roman"/>
          <w:i/>
          <w:color w:val="000000"/>
        </w:rPr>
        <w:t xml:space="preserve">(see instructions on </w:t>
      </w:r>
      <w:r w:rsidRPr="00D374D6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 xml:space="preserve">page </w:t>
      </w:r>
      <w:r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5</w:t>
      </w:r>
      <w:r w:rsidRPr="00D374D6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, LMI Instructions &amp; Guidance Document)</w:t>
      </w:r>
    </w:p>
    <w:p w14:paraId="08BD304F" w14:textId="77777777" w:rsidR="000D3D1B" w:rsidRDefault="000D3D1B" w:rsidP="000D3D1B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000000"/>
        </w:rPr>
      </w:pPr>
      <w:r w:rsidRPr="001145EA">
        <w:rPr>
          <w:rFonts w:eastAsia="Times New Roman" w:cs="Times New Roman"/>
          <w:color w:val="000000"/>
        </w:rPr>
        <w:t xml:space="preserve">How does the </w:t>
      </w:r>
      <w:r>
        <w:rPr>
          <w:rFonts w:eastAsia="Times New Roman" w:cs="Times New Roman"/>
          <w:color w:val="000000"/>
        </w:rPr>
        <w:t xml:space="preserve">employment, the </w:t>
      </w:r>
      <w:r w:rsidRPr="001145EA">
        <w:rPr>
          <w:rFonts w:eastAsia="Times New Roman" w:cs="Times New Roman"/>
          <w:color w:val="000000"/>
        </w:rPr>
        <w:t xml:space="preserve">employment change, the employment growth rate, and the average wage for the identified career </w:t>
      </w:r>
      <w:r>
        <w:rPr>
          <w:rFonts w:eastAsia="Times New Roman" w:cs="Times New Roman"/>
          <w:color w:val="000000"/>
        </w:rPr>
        <w:t>cluster</w:t>
      </w:r>
      <w:r w:rsidRPr="001145EA">
        <w:rPr>
          <w:rFonts w:eastAsia="Times New Roman" w:cs="Times New Roman"/>
          <w:color w:val="000000"/>
        </w:rPr>
        <w:t xml:space="preserve"> compare </w:t>
      </w:r>
      <w:r>
        <w:rPr>
          <w:rFonts w:eastAsia="Times New Roman" w:cs="Times New Roman"/>
          <w:color w:val="000000"/>
        </w:rPr>
        <w:t>to</w:t>
      </w:r>
      <w:r w:rsidRPr="001145E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LMI for </w:t>
      </w:r>
      <w:r w:rsidRPr="001145EA">
        <w:rPr>
          <w:rFonts w:eastAsia="Times New Roman" w:cs="Times New Roman"/>
          <w:color w:val="000000"/>
        </w:rPr>
        <w:t>other cluster</w:t>
      </w:r>
      <w:r>
        <w:rPr>
          <w:rFonts w:eastAsia="Times New Roman" w:cs="Times New Roman"/>
          <w:color w:val="000000"/>
        </w:rPr>
        <w:t>s in the State of Delaware</w:t>
      </w:r>
      <w:r w:rsidRPr="001145EA">
        <w:rPr>
          <w:rFonts w:eastAsia="Times New Roman" w:cs="Times New Roman"/>
          <w:color w:val="000000"/>
        </w:rPr>
        <w:t>?</w:t>
      </w:r>
      <w:r>
        <w:rPr>
          <w:rFonts w:eastAsia="Times New Roman" w:cs="Times New Roman"/>
          <w:color w:val="000000"/>
        </w:rPr>
        <w:t xml:space="preserve">  Is the career cluster rated as high wage and high demand?  </w:t>
      </w:r>
    </w:p>
    <w:p w14:paraId="217B5BF6" w14:textId="77777777" w:rsidR="00453442" w:rsidRDefault="00453442" w:rsidP="00453442">
      <w:pPr>
        <w:pStyle w:val="ListParagraph"/>
        <w:spacing w:after="0" w:line="276" w:lineRule="auto"/>
        <w:ind w:left="360"/>
        <w:rPr>
          <w:rFonts w:eastAsia="Times New Roman" w:cs="Times New Roman"/>
          <w:color w:val="000000"/>
        </w:rPr>
      </w:pPr>
    </w:p>
    <w:p w14:paraId="7D24E24F" w14:textId="6661E0A3" w:rsidR="00453442" w:rsidRDefault="00517B36" w:rsidP="00453442">
      <w:pPr>
        <w:pStyle w:val="ListParagraph"/>
        <w:spacing w:after="0" w:line="276" w:lineRule="auto"/>
        <w:ind w:left="360"/>
        <w:rPr>
          <w:rFonts w:eastAsia="Times New Roman" w:cs="Times New Roman"/>
          <w:b/>
          <w:color w:val="000000"/>
        </w:rPr>
      </w:pPr>
      <w:r w:rsidRPr="009D11F1">
        <w:rPr>
          <w:rFonts w:eastAsia="Times New Roman" w:cs="Times New Roman"/>
          <w:b/>
          <w:color w:val="000000"/>
        </w:rPr>
        <w:t>Employment opportunities in the Teaching &amp; Training Career Cluster</w:t>
      </w:r>
      <w:r w:rsidR="00453442" w:rsidRPr="009D11F1">
        <w:rPr>
          <w:rFonts w:eastAsia="Times New Roman" w:cs="Times New Roman"/>
          <w:b/>
          <w:color w:val="000000"/>
        </w:rPr>
        <w:t xml:space="preserve"> </w:t>
      </w:r>
      <w:r w:rsidRPr="009D11F1">
        <w:rPr>
          <w:rFonts w:eastAsia="Times New Roman" w:cs="Times New Roman"/>
          <w:b/>
          <w:color w:val="000000"/>
        </w:rPr>
        <w:t xml:space="preserve">are ranked </w:t>
      </w:r>
      <w:r w:rsidR="00453442" w:rsidRPr="009D11F1">
        <w:rPr>
          <w:rFonts w:eastAsia="Times New Roman" w:cs="Times New Roman"/>
          <w:b/>
          <w:color w:val="000000"/>
        </w:rPr>
        <w:t>bett</w:t>
      </w:r>
      <w:r w:rsidRPr="009D11F1">
        <w:rPr>
          <w:rFonts w:eastAsia="Times New Roman" w:cs="Times New Roman"/>
          <w:b/>
          <w:color w:val="000000"/>
        </w:rPr>
        <w:t>er than average</w:t>
      </w:r>
      <w:r w:rsidR="00453442" w:rsidRPr="009D11F1">
        <w:rPr>
          <w:rFonts w:eastAsia="Times New Roman" w:cs="Times New Roman"/>
          <w:b/>
          <w:color w:val="000000"/>
        </w:rPr>
        <w:t xml:space="preserve">.  </w:t>
      </w:r>
      <w:r w:rsidR="00CA2C32">
        <w:rPr>
          <w:rFonts w:eastAsia="Times New Roman" w:cs="Times New Roman"/>
          <w:b/>
          <w:color w:val="000000"/>
        </w:rPr>
        <w:t xml:space="preserve">This cluster is high wage, high skill, and high demand with above average salaries. </w:t>
      </w:r>
    </w:p>
    <w:p w14:paraId="4A0B3B67" w14:textId="77777777" w:rsidR="000D3D1B" w:rsidRPr="001145EA" w:rsidRDefault="000D3D1B" w:rsidP="000D3D1B">
      <w:pPr>
        <w:spacing w:after="0" w:line="276" w:lineRule="auto"/>
        <w:rPr>
          <w:rFonts w:eastAsia="Times New Roman" w:cs="Times New Roman"/>
          <w:color w:val="000000"/>
        </w:rPr>
      </w:pPr>
    </w:p>
    <w:p w14:paraId="2BF2AD52" w14:textId="77777777" w:rsidR="000D3D1B" w:rsidRDefault="000D3D1B" w:rsidP="000D3D1B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000000"/>
        </w:rPr>
      </w:pPr>
      <w:r w:rsidRPr="001145EA">
        <w:rPr>
          <w:rFonts w:eastAsia="Times New Roman" w:cs="Times New Roman"/>
          <w:color w:val="000000"/>
        </w:rPr>
        <w:t xml:space="preserve">How does the </w:t>
      </w:r>
      <w:r>
        <w:rPr>
          <w:rFonts w:eastAsia="Times New Roman" w:cs="Times New Roman"/>
          <w:color w:val="000000"/>
        </w:rPr>
        <w:t xml:space="preserve">employment, the </w:t>
      </w:r>
      <w:r w:rsidRPr="001145EA">
        <w:rPr>
          <w:rFonts w:eastAsia="Times New Roman" w:cs="Times New Roman"/>
          <w:color w:val="000000"/>
        </w:rPr>
        <w:t xml:space="preserve">employment change, the employment growth rate, and the average wage for the identified career pathway compare </w:t>
      </w:r>
      <w:r>
        <w:rPr>
          <w:rFonts w:eastAsia="Times New Roman" w:cs="Times New Roman"/>
          <w:color w:val="000000"/>
        </w:rPr>
        <w:t>to LMI at the</w:t>
      </w:r>
      <w:r w:rsidRPr="001145EA">
        <w:rPr>
          <w:rFonts w:eastAsia="Times New Roman" w:cs="Times New Roman"/>
          <w:color w:val="000000"/>
        </w:rPr>
        <w:t xml:space="preserve"> cluster</w:t>
      </w:r>
      <w:r>
        <w:rPr>
          <w:rFonts w:eastAsia="Times New Roman" w:cs="Times New Roman"/>
          <w:color w:val="000000"/>
        </w:rPr>
        <w:t xml:space="preserve"> level</w:t>
      </w:r>
      <w:r w:rsidRPr="001145EA">
        <w:rPr>
          <w:rFonts w:eastAsia="Times New Roman" w:cs="Times New Roman"/>
          <w:color w:val="000000"/>
        </w:rPr>
        <w:t>?</w:t>
      </w:r>
      <w:r>
        <w:rPr>
          <w:rFonts w:eastAsia="Times New Roman" w:cs="Times New Roman"/>
          <w:color w:val="000000"/>
        </w:rPr>
        <w:t xml:space="preserve">  How does the identified pathway level LMI in Delaware compare to the pathway level LMI in the Mid-Atlantic and/or the United States?  How does the identified pathway level LMI in Delaware compare to the other pathway level LMI in Delaware?  </w:t>
      </w:r>
    </w:p>
    <w:p w14:paraId="62C94B04" w14:textId="77777777" w:rsidR="009D11F1" w:rsidRDefault="009D11F1" w:rsidP="009D11F1">
      <w:pPr>
        <w:pStyle w:val="ListParagraph"/>
        <w:spacing w:after="0" w:line="276" w:lineRule="auto"/>
        <w:ind w:left="360"/>
        <w:rPr>
          <w:rFonts w:eastAsia="Times New Roman" w:cs="Times New Roman"/>
          <w:color w:val="000000"/>
        </w:rPr>
      </w:pPr>
    </w:p>
    <w:p w14:paraId="5F0120E2" w14:textId="499BCC4F" w:rsidR="00B126A7" w:rsidRDefault="00517B36" w:rsidP="00517B36">
      <w:pPr>
        <w:pStyle w:val="ListParagraph"/>
        <w:spacing w:after="0" w:line="276" w:lineRule="auto"/>
        <w:ind w:left="360"/>
        <w:rPr>
          <w:rFonts w:eastAsia="Times New Roman" w:cs="Times New Roman"/>
          <w:b/>
          <w:color w:val="000000"/>
          <w:u w:val="single"/>
        </w:rPr>
      </w:pPr>
      <w:r w:rsidRPr="009D11F1">
        <w:rPr>
          <w:rFonts w:eastAsia="Times New Roman" w:cs="Times New Roman"/>
          <w:b/>
          <w:color w:val="000000"/>
        </w:rPr>
        <w:lastRenderedPageBreak/>
        <w:t>In the Education &amp; Training Career Cluster the Teaching/Training pathway ranks #1 in employment and employment change.  Administrative positions outpace Teachi</w:t>
      </w:r>
      <w:r w:rsidR="00A64A0F">
        <w:rPr>
          <w:rFonts w:eastAsia="Times New Roman" w:cs="Times New Roman"/>
          <w:b/>
          <w:color w:val="000000"/>
        </w:rPr>
        <w:t xml:space="preserve">ng/Training positions in wage; </w:t>
      </w:r>
      <w:r w:rsidR="00CA2C32">
        <w:rPr>
          <w:rFonts w:eastAsia="Times New Roman" w:cs="Times New Roman"/>
          <w:b/>
          <w:color w:val="000000"/>
        </w:rPr>
        <w:t>h</w:t>
      </w:r>
      <w:r w:rsidRPr="009D11F1">
        <w:rPr>
          <w:rFonts w:eastAsia="Times New Roman" w:cs="Times New Roman"/>
          <w:b/>
          <w:color w:val="000000"/>
        </w:rPr>
        <w:t>owever, these are often 12-month positions while Teach</w:t>
      </w:r>
      <w:r w:rsidR="00CA2C32">
        <w:rPr>
          <w:rFonts w:eastAsia="Times New Roman" w:cs="Times New Roman"/>
          <w:b/>
          <w:color w:val="000000"/>
        </w:rPr>
        <w:t>ing/Training positions are usually</w:t>
      </w:r>
      <w:r w:rsidRPr="009D11F1">
        <w:rPr>
          <w:rFonts w:eastAsia="Times New Roman" w:cs="Times New Roman"/>
          <w:b/>
          <w:color w:val="000000"/>
        </w:rPr>
        <w:t xml:space="preserve"> 10-month positions.</w:t>
      </w:r>
    </w:p>
    <w:p w14:paraId="0525904E" w14:textId="77777777" w:rsidR="00A64A0F" w:rsidRDefault="00A64A0F" w:rsidP="00517B36">
      <w:pPr>
        <w:pStyle w:val="ListParagraph"/>
        <w:spacing w:after="0" w:line="276" w:lineRule="auto"/>
        <w:ind w:left="360"/>
        <w:rPr>
          <w:rFonts w:eastAsia="Times New Roman" w:cs="Times New Roman"/>
          <w:b/>
          <w:color w:val="000000"/>
        </w:rPr>
      </w:pPr>
    </w:p>
    <w:p w14:paraId="78F9D0F5" w14:textId="77777777" w:rsidR="00A64A0F" w:rsidRPr="009D11F1" w:rsidRDefault="00A64A0F" w:rsidP="00517B36">
      <w:pPr>
        <w:pStyle w:val="ListParagraph"/>
        <w:spacing w:after="0" w:line="276" w:lineRule="auto"/>
        <w:ind w:left="360"/>
        <w:rPr>
          <w:rFonts w:eastAsia="Times New Roman" w:cs="Times New Roman"/>
          <w:b/>
          <w:color w:val="000000"/>
        </w:rPr>
      </w:pPr>
    </w:p>
    <w:tbl>
      <w:tblPr>
        <w:tblW w:w="13050" w:type="dxa"/>
        <w:tblLayout w:type="fixed"/>
        <w:tblLook w:val="04A0" w:firstRow="1" w:lastRow="0" w:firstColumn="1" w:lastColumn="0" w:noHBand="0" w:noVBand="1"/>
      </w:tblPr>
      <w:tblGrid>
        <w:gridCol w:w="1368"/>
        <w:gridCol w:w="3510"/>
        <w:gridCol w:w="924"/>
        <w:gridCol w:w="924"/>
        <w:gridCol w:w="1032"/>
        <w:gridCol w:w="1332"/>
        <w:gridCol w:w="1350"/>
        <w:gridCol w:w="1350"/>
        <w:gridCol w:w="1260"/>
      </w:tblGrid>
      <w:tr w:rsidR="004075CF" w:rsidRPr="00BC42A7" w14:paraId="74088D6A" w14:textId="77777777" w:rsidTr="00246F9E">
        <w:trPr>
          <w:trHeight w:val="372"/>
        </w:trPr>
        <w:tc>
          <w:tcPr>
            <w:tcW w:w="77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D656F" w14:textId="4AB9704D" w:rsidR="003C4295" w:rsidRPr="00F81FCE" w:rsidRDefault="003C4295" w:rsidP="00DB2F54">
            <w:pPr>
              <w:spacing w:after="0" w:line="276" w:lineRule="auto"/>
              <w:rPr>
                <w:rFonts w:eastAsia="Times New Roman" w:cs="Times New Roman"/>
                <w:b/>
                <w:color w:val="000000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</w:rPr>
              <w:t xml:space="preserve">Table 4: LMI by </w:t>
            </w:r>
            <w:r w:rsidRPr="00F81FCE">
              <w:rPr>
                <w:rFonts w:eastAsia="Times New Roman" w:cs="Times New Roman"/>
                <w:b/>
                <w:color w:val="000000"/>
                <w:u w:val="single"/>
              </w:rPr>
              <w:t>Standard Occupation Code (</w:t>
            </w:r>
            <w:r>
              <w:rPr>
                <w:rFonts w:eastAsia="Times New Roman" w:cs="Times New Roman"/>
                <w:b/>
                <w:color w:val="000000"/>
                <w:u w:val="single"/>
              </w:rPr>
              <w:t>SOC)</w:t>
            </w:r>
          </w:p>
          <w:p w14:paraId="6BEC0911" w14:textId="17A6C317" w:rsidR="004075CF" w:rsidRPr="003C4295" w:rsidRDefault="00D374D6" w:rsidP="00945EF1">
            <w:pPr>
              <w:spacing w:after="0" w:line="276" w:lineRule="auto"/>
              <w:rPr>
                <w:rFonts w:eastAsia="Times New Roman" w:cs="Times New Roman"/>
                <w:color w:val="000000"/>
              </w:rPr>
            </w:pPr>
            <w:r w:rsidRPr="00D374D6">
              <w:rPr>
                <w:rFonts w:eastAsia="Times New Roman" w:cs="Times New Roman"/>
                <w:i/>
                <w:color w:val="000000"/>
              </w:rPr>
              <w:t xml:space="preserve">(see instructions on </w:t>
            </w:r>
            <w:r w:rsidR="00945EF1">
              <w:rPr>
                <w:rFonts w:eastAsia="Times New Roman" w:cs="Times New Roman"/>
                <w:bCs/>
                <w:i/>
                <w:color w:val="000000"/>
                <w:shd w:val="clear" w:color="auto" w:fill="FFFFFF" w:themeFill="background1"/>
              </w:rPr>
              <w:t>page 6</w:t>
            </w:r>
            <w:r w:rsidRPr="00D374D6">
              <w:rPr>
                <w:rFonts w:eastAsia="Times New Roman" w:cs="Times New Roman"/>
                <w:bCs/>
                <w:i/>
                <w:color w:val="000000"/>
                <w:shd w:val="clear" w:color="auto" w:fill="FFFFFF" w:themeFill="background1"/>
              </w:rPr>
              <w:t>, LMI Instructions &amp; Guidance Document)</w:t>
            </w: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24CE3B" w14:textId="77777777" w:rsidR="004075CF" w:rsidRPr="00BC42A7" w:rsidRDefault="004075CF" w:rsidP="00DB2F5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C42A7">
              <w:rPr>
                <w:rFonts w:eastAsia="Times New Roman" w:cs="Times New Roman"/>
                <w:b/>
                <w:bCs/>
                <w:color w:val="000000"/>
              </w:rPr>
              <w:t>2012-2022</w:t>
            </w:r>
          </w:p>
        </w:tc>
      </w:tr>
      <w:tr w:rsidR="004075CF" w:rsidRPr="00BC42A7" w14:paraId="79D90B40" w14:textId="77777777" w:rsidTr="00246F9E">
        <w:trPr>
          <w:trHeight w:val="655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260F80" w14:textId="79026940" w:rsidR="004075CF" w:rsidRPr="00162DCA" w:rsidRDefault="000875B2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SOC</w:t>
            </w:r>
            <w:r w:rsidR="004075CF"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A2D5BDE" w14:textId="3F7BC5B4" w:rsidR="004075CF" w:rsidRPr="00162DCA" w:rsidRDefault="004437A7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Occupation</w:t>
            </w:r>
            <w:r w:rsidR="004075CF"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Title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2A4099" w14:textId="77777777" w:rsidR="004075CF" w:rsidRPr="00162DCA" w:rsidRDefault="004075CF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High Skill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FCE51C" w14:textId="77777777" w:rsidR="004075CF" w:rsidRPr="00162DCA" w:rsidRDefault="004075CF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High Wage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EE0722" w14:textId="77777777" w:rsidR="004075CF" w:rsidRPr="00162DCA" w:rsidRDefault="004075CF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High Demand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94AABF" w14:textId="3FCB6B74" w:rsidR="004075CF" w:rsidRPr="00162DCA" w:rsidRDefault="004075CF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Employment </w:t>
            </w:r>
            <w:r w:rsidR="00E7231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6743EA" w14:textId="77777777" w:rsidR="004075CF" w:rsidRPr="00162DCA" w:rsidRDefault="004075CF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Employment Change           2012-2022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A562BD" w14:textId="77777777" w:rsidR="004075CF" w:rsidRPr="00162DCA" w:rsidRDefault="004075CF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Employment Growth        2012-2022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C9DABB" w14:textId="0DD0A7E6" w:rsidR="004075CF" w:rsidRPr="00162DCA" w:rsidRDefault="004075CF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62DC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Average Wage </w:t>
            </w:r>
            <w:r w:rsidR="00E7231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</w:tr>
      <w:tr w:rsidR="003A37E0" w:rsidRPr="00BC42A7" w14:paraId="73640C80" w14:textId="77777777" w:rsidTr="003C4295">
        <w:trPr>
          <w:trHeight w:val="336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1905" w14:textId="36029370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25-2021</w:t>
            </w:r>
            <w:r w:rsidRPr="00E05F3A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3B19255" w14:textId="1FFD493F" w:rsidR="003A37E0" w:rsidRPr="0059320B" w:rsidRDefault="003A37E0" w:rsidP="003A37E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Elementary School Teacher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47A597" w14:textId="7CCC0AFD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A85C1C" w14:textId="20B6E826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1EE2783D" w14:textId="001AED21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B7C5F" w14:textId="04C20EE2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F3BE7" w14:textId="23C19EE3" w:rsidR="003A37E0" w:rsidRPr="00E05F3A" w:rsidRDefault="003A37E0" w:rsidP="003A37E0">
            <w:pPr>
              <w:spacing w:after="0" w:line="276" w:lineRule="auto"/>
              <w:ind w:firstLineChars="200" w:firstLine="4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B9DC44" w14:textId="55F93970" w:rsidR="003A37E0" w:rsidRPr="00E05F3A" w:rsidRDefault="003A37E0" w:rsidP="003A37E0">
            <w:pPr>
              <w:spacing w:after="0" w:line="276" w:lineRule="auto"/>
              <w:ind w:firstLineChars="300" w:firstLine="6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440441" w14:textId="551D68C2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$58,680</w:t>
            </w:r>
          </w:p>
        </w:tc>
      </w:tr>
      <w:tr w:rsidR="003A37E0" w:rsidRPr="00BC42A7" w14:paraId="0539F781" w14:textId="77777777" w:rsidTr="003C4295">
        <w:trPr>
          <w:trHeight w:val="336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7100" w14:textId="6448C9F8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25-2054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33BF96C" w14:textId="7495E7F4" w:rsidR="003A37E0" w:rsidRPr="0059320B" w:rsidRDefault="003A37E0" w:rsidP="003A37E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Special Education Teacher – Secondary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EDC77B4" w14:textId="7D09AE41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E91B90" w14:textId="772D636D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BD36816" w14:textId="77777777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CE8BC" w14:textId="57F6AEAE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95ED9" w14:textId="2D982167" w:rsidR="003A37E0" w:rsidRPr="00E05F3A" w:rsidRDefault="003A37E0" w:rsidP="003A37E0">
            <w:pPr>
              <w:spacing w:after="0" w:line="276" w:lineRule="auto"/>
              <w:ind w:firstLineChars="200" w:firstLine="4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8698C" w14:textId="40463E3D" w:rsidR="003A37E0" w:rsidRPr="00E05F3A" w:rsidRDefault="003A37E0" w:rsidP="003A37E0">
            <w:pPr>
              <w:spacing w:after="0" w:line="276" w:lineRule="auto"/>
              <w:ind w:firstLineChars="300" w:firstLine="6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5FAF9" w14:textId="61CE917C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$62,590</w:t>
            </w:r>
          </w:p>
        </w:tc>
      </w:tr>
      <w:tr w:rsidR="003A37E0" w:rsidRPr="00BC42A7" w14:paraId="4235FB63" w14:textId="77777777" w:rsidTr="003C4295">
        <w:trPr>
          <w:trHeight w:val="336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A558" w14:textId="4CB02E65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25-2031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EB5D5CC" w14:textId="3A21811E" w:rsidR="003A37E0" w:rsidRPr="0059320B" w:rsidRDefault="003A37E0" w:rsidP="003A37E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Secondary Teacher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0D7A8C1" w14:textId="77870281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71F66B" w14:textId="44266519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B07158D" w14:textId="1C135932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2A248" w14:textId="71BE03F0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878C0" w14:textId="21AA1489" w:rsidR="003A37E0" w:rsidRPr="00E05F3A" w:rsidRDefault="003A37E0" w:rsidP="003A37E0">
            <w:pPr>
              <w:spacing w:after="0" w:line="276" w:lineRule="auto"/>
              <w:ind w:firstLineChars="200" w:firstLine="4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D3A5D" w14:textId="14E29979" w:rsidR="003A37E0" w:rsidRPr="00E05F3A" w:rsidRDefault="003A37E0" w:rsidP="003A37E0">
            <w:pPr>
              <w:spacing w:after="0" w:line="276" w:lineRule="auto"/>
              <w:ind w:firstLineChars="300" w:firstLine="6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24C8BD" w14:textId="5426784B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$58,920</w:t>
            </w:r>
          </w:p>
        </w:tc>
      </w:tr>
      <w:tr w:rsidR="003A37E0" w:rsidRPr="00BC42A7" w14:paraId="42790DEB" w14:textId="77777777" w:rsidTr="003C4295">
        <w:trPr>
          <w:trHeight w:val="336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6586" w14:textId="62E1BE12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11-9032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8F1A584" w14:textId="001F7F96" w:rsidR="003A37E0" w:rsidRPr="0059320B" w:rsidRDefault="003A37E0" w:rsidP="003A37E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Education Administration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6778A5" w14:textId="025E26CB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8C148F" w14:textId="1625CE79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5FD516B" w14:textId="3FACA190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95ACE" w14:textId="4B52B9BF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D431D" w14:textId="7A15AD82" w:rsidR="003A37E0" w:rsidRPr="00E05F3A" w:rsidRDefault="003A37E0" w:rsidP="003A37E0">
            <w:pPr>
              <w:spacing w:after="0" w:line="276" w:lineRule="auto"/>
              <w:ind w:firstLineChars="200" w:firstLine="4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5484CD" w14:textId="36853629" w:rsidR="003A37E0" w:rsidRPr="00E05F3A" w:rsidRDefault="003A37E0" w:rsidP="003A37E0">
            <w:pPr>
              <w:spacing w:after="0" w:line="276" w:lineRule="auto"/>
              <w:ind w:firstLineChars="300" w:firstLine="6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77A171" w14:textId="2F7B9312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$113,090</w:t>
            </w:r>
          </w:p>
        </w:tc>
      </w:tr>
      <w:tr w:rsidR="003A37E0" w:rsidRPr="00BC42A7" w14:paraId="2EA3B302" w14:textId="77777777" w:rsidTr="003C4295">
        <w:trPr>
          <w:trHeight w:val="336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1DA6" w14:textId="32C5DAA7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21-1012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BB41104" w14:textId="5EC261A8" w:rsidR="003A37E0" w:rsidRPr="0059320B" w:rsidRDefault="003A37E0" w:rsidP="003A37E0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Educational Guidance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5FDAAA1" w14:textId="7897139B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87DD26" w14:textId="3E05DF44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A3BBB9E" w14:textId="472CFFD0" w:rsidR="003A37E0" w:rsidRPr="00E05F3A" w:rsidRDefault="003A37E0" w:rsidP="003A37E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10A0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97ACF" w14:textId="1834021C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92BF2" w14:textId="1E41B60E" w:rsidR="003A37E0" w:rsidRPr="00E05F3A" w:rsidRDefault="003A37E0" w:rsidP="003A37E0">
            <w:pPr>
              <w:spacing w:after="0" w:line="276" w:lineRule="auto"/>
              <w:ind w:firstLineChars="200" w:firstLine="4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7A719" w14:textId="59F1EE4F" w:rsidR="003A37E0" w:rsidRPr="00E05F3A" w:rsidRDefault="003A37E0" w:rsidP="003A37E0">
            <w:pPr>
              <w:spacing w:after="0" w:line="276" w:lineRule="auto"/>
              <w:ind w:firstLineChars="300" w:firstLine="6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024F28" w14:textId="31502185" w:rsidR="003A37E0" w:rsidRPr="00E05F3A" w:rsidRDefault="003A37E0" w:rsidP="003A37E0">
            <w:pPr>
              <w:spacing w:after="0" w:line="276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$60,360</w:t>
            </w:r>
          </w:p>
        </w:tc>
      </w:tr>
    </w:tbl>
    <w:p w14:paraId="52000041" w14:textId="77777777" w:rsidR="004075CF" w:rsidRDefault="004075CF" w:rsidP="00B75B08">
      <w:pPr>
        <w:spacing w:after="0" w:line="276" w:lineRule="auto"/>
        <w:rPr>
          <w:rFonts w:eastAsia="Times New Roman" w:cs="Times New Roman"/>
          <w:color w:val="000000"/>
        </w:rPr>
      </w:pPr>
    </w:p>
    <w:p w14:paraId="6A22B678" w14:textId="77777777" w:rsidR="009126CF" w:rsidRPr="00BC42A7" w:rsidRDefault="009126CF" w:rsidP="00B75B08">
      <w:pPr>
        <w:spacing w:after="0" w:line="276" w:lineRule="auto"/>
        <w:rPr>
          <w:rFonts w:eastAsia="Times New Roman" w:cs="Times New Roman"/>
          <w:color w:val="000000"/>
        </w:rPr>
      </w:pPr>
    </w:p>
    <w:p w14:paraId="0CC6DCDC" w14:textId="06C04D2C" w:rsidR="0028603C" w:rsidRDefault="00C40563" w:rsidP="0028603C">
      <w:pPr>
        <w:spacing w:after="0" w:line="276" w:lineRule="auto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 xml:space="preserve">Table 4: </w:t>
      </w:r>
      <w:r w:rsidR="0028603C">
        <w:rPr>
          <w:rFonts w:eastAsia="Times New Roman" w:cs="Times New Roman"/>
          <w:b/>
          <w:color w:val="000000"/>
          <w:u w:val="single"/>
        </w:rPr>
        <w:t xml:space="preserve">LMI by </w:t>
      </w:r>
      <w:r w:rsidR="0028603C" w:rsidRPr="00F81FCE">
        <w:rPr>
          <w:rFonts w:eastAsia="Times New Roman" w:cs="Times New Roman"/>
          <w:b/>
          <w:color w:val="000000"/>
          <w:u w:val="single"/>
        </w:rPr>
        <w:t>Standard Occupation Code (</w:t>
      </w:r>
      <w:r w:rsidR="0028603C">
        <w:rPr>
          <w:rFonts w:eastAsia="Times New Roman" w:cs="Times New Roman"/>
          <w:b/>
          <w:color w:val="000000"/>
          <w:u w:val="single"/>
        </w:rPr>
        <w:t>SOC)</w:t>
      </w:r>
      <w:r w:rsidR="008227B2">
        <w:rPr>
          <w:rFonts w:eastAsia="Times New Roman" w:cs="Times New Roman"/>
          <w:b/>
          <w:color w:val="000000"/>
          <w:u w:val="single"/>
        </w:rPr>
        <w:t xml:space="preserve"> (Questions/Analysis)</w:t>
      </w:r>
    </w:p>
    <w:p w14:paraId="64734018" w14:textId="418E4480" w:rsidR="00DB7DD0" w:rsidRPr="00DB7DD0" w:rsidRDefault="00D374D6" w:rsidP="0028603C">
      <w:pPr>
        <w:spacing w:after="0" w:line="276" w:lineRule="auto"/>
        <w:rPr>
          <w:rFonts w:eastAsia="Times New Roman" w:cs="Times New Roman"/>
          <w:bCs/>
          <w:i/>
          <w:color w:val="000000"/>
          <w:shd w:val="clear" w:color="auto" w:fill="FFFFFF" w:themeFill="background1"/>
        </w:rPr>
      </w:pPr>
      <w:r w:rsidRPr="00D374D6">
        <w:rPr>
          <w:rFonts w:eastAsia="Times New Roman" w:cs="Times New Roman"/>
          <w:i/>
          <w:color w:val="000000"/>
        </w:rPr>
        <w:t xml:space="preserve">(see instructions on </w:t>
      </w:r>
      <w:r w:rsidRPr="00D374D6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 xml:space="preserve">page </w:t>
      </w:r>
      <w:r w:rsidR="00CB206B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7</w:t>
      </w:r>
      <w:r w:rsidRPr="00D374D6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, LMI Instructions &amp; Guidance Document)</w:t>
      </w:r>
    </w:p>
    <w:p w14:paraId="65289666" w14:textId="52A33E59" w:rsidR="0028603C" w:rsidRDefault="0028603C" w:rsidP="0028603C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000000"/>
        </w:rPr>
      </w:pPr>
      <w:r w:rsidRPr="00222E02">
        <w:rPr>
          <w:rFonts w:eastAsia="Times New Roman" w:cs="Times New Roman"/>
          <w:color w:val="000000"/>
        </w:rPr>
        <w:t>How closely related to the program of study are the identified occupations</w:t>
      </w:r>
      <w:r>
        <w:rPr>
          <w:rFonts w:eastAsia="Times New Roman" w:cs="Times New Roman"/>
          <w:color w:val="000000"/>
        </w:rPr>
        <w:t xml:space="preserve"> (SOCs)</w:t>
      </w:r>
      <w:r w:rsidRPr="00222E02">
        <w:rPr>
          <w:rFonts w:eastAsia="Times New Roman" w:cs="Times New Roman"/>
          <w:color w:val="000000"/>
        </w:rPr>
        <w:t>?</w:t>
      </w:r>
    </w:p>
    <w:p w14:paraId="5F08AF2F" w14:textId="77777777" w:rsidR="009D11F1" w:rsidRDefault="009D11F1" w:rsidP="009D11F1">
      <w:pPr>
        <w:pStyle w:val="ListParagraph"/>
        <w:spacing w:after="0" w:line="276" w:lineRule="auto"/>
        <w:ind w:left="360"/>
        <w:rPr>
          <w:rFonts w:eastAsia="Times New Roman" w:cs="Times New Roman"/>
          <w:color w:val="000000"/>
        </w:rPr>
      </w:pPr>
    </w:p>
    <w:p w14:paraId="611EB546" w14:textId="7A515AAC" w:rsidR="0028603C" w:rsidRPr="009D11F1" w:rsidRDefault="00517B36" w:rsidP="009663F4">
      <w:pPr>
        <w:spacing w:after="0" w:line="276" w:lineRule="auto"/>
        <w:ind w:left="360"/>
        <w:rPr>
          <w:rFonts w:eastAsia="Times New Roman" w:cs="Times New Roman"/>
          <w:b/>
          <w:color w:val="000000"/>
        </w:rPr>
      </w:pPr>
      <w:r w:rsidRPr="009D11F1">
        <w:rPr>
          <w:rFonts w:eastAsia="Times New Roman" w:cs="Times New Roman"/>
          <w:b/>
          <w:color w:val="000000"/>
        </w:rPr>
        <w:t xml:space="preserve">The Elementary and Secondary Teacher, as well as the Special Education Teacher, occupations are directly linked to the program of study.  While the Administration and Guidance occupations are related, </w:t>
      </w:r>
      <w:r w:rsidR="003A37E0">
        <w:rPr>
          <w:rFonts w:eastAsia="Times New Roman" w:cs="Times New Roman"/>
          <w:b/>
          <w:color w:val="000000"/>
        </w:rPr>
        <w:t xml:space="preserve">both may </w:t>
      </w:r>
      <w:r w:rsidRPr="009D11F1">
        <w:rPr>
          <w:rFonts w:eastAsia="Times New Roman" w:cs="Times New Roman"/>
          <w:b/>
          <w:color w:val="000000"/>
        </w:rPr>
        <w:t xml:space="preserve">require teaching experience and additional educational degrees before employment.  </w:t>
      </w:r>
    </w:p>
    <w:p w14:paraId="625573EF" w14:textId="77777777" w:rsidR="0028603C" w:rsidRPr="00222E02" w:rsidRDefault="0028603C" w:rsidP="0028603C">
      <w:pPr>
        <w:spacing w:after="0" w:line="276" w:lineRule="auto"/>
        <w:rPr>
          <w:rFonts w:eastAsia="Times New Roman" w:cs="Times New Roman"/>
          <w:color w:val="000000"/>
        </w:rPr>
      </w:pPr>
    </w:p>
    <w:p w14:paraId="721D1FAF" w14:textId="17DC0FFB" w:rsidR="0028603C" w:rsidRDefault="0028603C" w:rsidP="0028603C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000000"/>
        </w:rPr>
      </w:pPr>
      <w:r w:rsidRPr="00222E02">
        <w:rPr>
          <w:rFonts w:eastAsia="Times New Roman" w:cs="Times New Roman"/>
          <w:color w:val="000000"/>
        </w:rPr>
        <w:t>Are there adequate state-level projected job openings</w:t>
      </w:r>
      <w:r w:rsidR="001143EA">
        <w:rPr>
          <w:rFonts w:eastAsia="Times New Roman" w:cs="Times New Roman"/>
          <w:color w:val="000000"/>
        </w:rPr>
        <w:t xml:space="preserve"> or employment growth projections</w:t>
      </w:r>
      <w:r w:rsidRPr="00222E02">
        <w:rPr>
          <w:rFonts w:eastAsia="Times New Roman" w:cs="Times New Roman"/>
          <w:color w:val="000000"/>
        </w:rPr>
        <w:t xml:space="preserve"> at the occupation level to justify starting a new program</w:t>
      </w:r>
      <w:r w:rsidR="00C85F7C">
        <w:rPr>
          <w:rFonts w:eastAsia="Times New Roman" w:cs="Times New Roman"/>
          <w:color w:val="000000"/>
        </w:rPr>
        <w:t xml:space="preserve"> of study</w:t>
      </w:r>
      <w:r w:rsidRPr="00222E02">
        <w:rPr>
          <w:rFonts w:eastAsia="Times New Roman" w:cs="Times New Roman"/>
          <w:color w:val="000000"/>
        </w:rPr>
        <w:t>?</w:t>
      </w:r>
      <w:r>
        <w:rPr>
          <w:rFonts w:eastAsia="Times New Roman" w:cs="Times New Roman"/>
          <w:color w:val="000000"/>
        </w:rPr>
        <w:t xml:space="preserve">  </w:t>
      </w:r>
      <w:r w:rsidRPr="00222E02">
        <w:rPr>
          <w:rFonts w:eastAsia="Times New Roman" w:cs="Times New Roman"/>
          <w:color w:val="000000"/>
        </w:rPr>
        <w:t xml:space="preserve">Do the occupations related to the program of study rank as </w:t>
      </w:r>
      <w:r>
        <w:rPr>
          <w:rFonts w:eastAsia="Times New Roman" w:cs="Times New Roman"/>
          <w:color w:val="000000"/>
        </w:rPr>
        <w:t>high skill, h</w:t>
      </w:r>
      <w:r w:rsidRPr="00222E02">
        <w:rPr>
          <w:rFonts w:eastAsia="Times New Roman" w:cs="Times New Roman"/>
          <w:color w:val="000000"/>
        </w:rPr>
        <w:t xml:space="preserve">igh </w:t>
      </w:r>
      <w:r>
        <w:rPr>
          <w:rFonts w:eastAsia="Times New Roman" w:cs="Times New Roman"/>
          <w:color w:val="000000"/>
        </w:rPr>
        <w:t>w</w:t>
      </w:r>
      <w:r w:rsidRPr="00222E02">
        <w:rPr>
          <w:rFonts w:eastAsia="Times New Roman" w:cs="Times New Roman"/>
          <w:color w:val="000000"/>
        </w:rPr>
        <w:t xml:space="preserve">age and/or </w:t>
      </w:r>
      <w:r>
        <w:rPr>
          <w:rFonts w:eastAsia="Times New Roman" w:cs="Times New Roman"/>
          <w:color w:val="000000"/>
        </w:rPr>
        <w:t>h</w:t>
      </w:r>
      <w:r w:rsidRPr="00222E02">
        <w:rPr>
          <w:rFonts w:eastAsia="Times New Roman" w:cs="Times New Roman"/>
          <w:color w:val="000000"/>
        </w:rPr>
        <w:t xml:space="preserve">igh </w:t>
      </w:r>
      <w:r>
        <w:rPr>
          <w:rFonts w:eastAsia="Times New Roman" w:cs="Times New Roman"/>
          <w:color w:val="000000"/>
        </w:rPr>
        <w:t>d</w:t>
      </w:r>
      <w:r w:rsidRPr="00222E02">
        <w:rPr>
          <w:rFonts w:eastAsia="Times New Roman" w:cs="Times New Roman"/>
          <w:color w:val="000000"/>
        </w:rPr>
        <w:t>emand?</w:t>
      </w:r>
      <w:r>
        <w:rPr>
          <w:rFonts w:eastAsia="Times New Roman" w:cs="Times New Roman"/>
          <w:color w:val="000000"/>
        </w:rPr>
        <w:t xml:space="preserve">  </w:t>
      </w:r>
    </w:p>
    <w:p w14:paraId="71BA6079" w14:textId="77777777" w:rsidR="00CA2C32" w:rsidRDefault="00CA2C32" w:rsidP="00CA2C32">
      <w:pPr>
        <w:pStyle w:val="ListParagraph"/>
        <w:spacing w:after="0" w:line="276" w:lineRule="auto"/>
        <w:ind w:left="360"/>
        <w:rPr>
          <w:rFonts w:eastAsia="Times New Roman" w:cs="Times New Roman"/>
          <w:color w:val="000000"/>
        </w:rPr>
      </w:pPr>
    </w:p>
    <w:p w14:paraId="5CD9B326" w14:textId="2817FC83" w:rsidR="00CA2C32" w:rsidRPr="00CA2C32" w:rsidRDefault="003A37E0" w:rsidP="00CA2C32">
      <w:pPr>
        <w:pStyle w:val="ListParagraph"/>
        <w:spacing w:after="0" w:line="276" w:lineRule="auto"/>
        <w:ind w:left="36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T</w:t>
      </w:r>
      <w:r w:rsidRPr="002435A1">
        <w:rPr>
          <w:rFonts w:eastAsia="Times New Roman" w:cs="Times New Roman"/>
          <w:b/>
          <w:color w:val="000000"/>
        </w:rPr>
        <w:t>he</w:t>
      </w:r>
      <w:r>
        <w:rPr>
          <w:rFonts w:eastAsia="Times New Roman" w:cs="Times New Roman"/>
          <w:b/>
          <w:color w:val="000000"/>
        </w:rPr>
        <w:t xml:space="preserve"> number of</w:t>
      </w:r>
      <w:r w:rsidRPr="002435A1">
        <w:rPr>
          <w:rFonts w:eastAsia="Times New Roman" w:cs="Times New Roman"/>
          <w:b/>
          <w:color w:val="000000"/>
        </w:rPr>
        <w:t xml:space="preserve"> job openings projected</w:t>
      </w:r>
      <w:r>
        <w:rPr>
          <w:rFonts w:eastAsia="Times New Roman" w:cs="Times New Roman"/>
          <w:b/>
          <w:color w:val="000000"/>
        </w:rPr>
        <w:t xml:space="preserve"> for the cluster and pathway will support a Teacher Academy program of study.  The cluster and pathway are</w:t>
      </w:r>
      <w:r w:rsidRPr="002435A1">
        <w:rPr>
          <w:rFonts w:eastAsia="Times New Roman" w:cs="Times New Roman"/>
          <w:b/>
          <w:color w:val="000000"/>
        </w:rPr>
        <w:t xml:space="preserve"> rated as high skill, high wage, and high demand jobs.</w:t>
      </w:r>
    </w:p>
    <w:p w14:paraId="4153D623" w14:textId="77777777" w:rsidR="00D374D6" w:rsidRDefault="00D374D6">
      <w:pPr>
        <w:rPr>
          <w:rFonts w:eastAsia="Times New Roman" w:cs="Times New Roman"/>
          <w:b/>
          <w:color w:val="000000"/>
          <w:u w:val="single"/>
        </w:rPr>
      </w:pPr>
    </w:p>
    <w:p w14:paraId="484AC35F" w14:textId="77777777" w:rsidR="00D374D6" w:rsidRDefault="00D374D6">
      <w:pPr>
        <w:rPr>
          <w:rFonts w:eastAsia="Times New Roman" w:cs="Times New Roman"/>
          <w:b/>
          <w:color w:val="000000"/>
          <w:u w:val="single"/>
        </w:rPr>
      </w:pPr>
    </w:p>
    <w:tbl>
      <w:tblPr>
        <w:tblW w:w="13158" w:type="dxa"/>
        <w:tblLayout w:type="fixed"/>
        <w:tblLook w:val="04A0" w:firstRow="1" w:lastRow="0" w:firstColumn="1" w:lastColumn="0" w:noHBand="0" w:noVBand="1"/>
      </w:tblPr>
      <w:tblGrid>
        <w:gridCol w:w="1368"/>
        <w:gridCol w:w="3132"/>
        <w:gridCol w:w="3960"/>
        <w:gridCol w:w="1174"/>
        <w:gridCol w:w="1175"/>
        <w:gridCol w:w="1174"/>
        <w:gridCol w:w="1175"/>
      </w:tblGrid>
      <w:tr w:rsidR="009F3086" w:rsidRPr="00BC42A7" w14:paraId="2B6353D3" w14:textId="77777777" w:rsidTr="009F3086">
        <w:trPr>
          <w:trHeight w:val="324"/>
        </w:trPr>
        <w:tc>
          <w:tcPr>
            <w:tcW w:w="8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55345" w14:textId="22D2342D" w:rsidR="00D374D6" w:rsidRPr="00F81FCE" w:rsidRDefault="0028603C" w:rsidP="00D374D6">
            <w:pPr>
              <w:spacing w:after="0" w:line="276" w:lineRule="auto"/>
              <w:rPr>
                <w:rFonts w:eastAsia="Times New Roman" w:cs="Times New Roman"/>
                <w:b/>
                <w:color w:val="000000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</w:rPr>
              <w:br w:type="page"/>
            </w:r>
            <w:r w:rsidR="00D374D6">
              <w:rPr>
                <w:rFonts w:eastAsia="Times New Roman" w:cs="Times New Roman"/>
                <w:b/>
                <w:color w:val="000000"/>
                <w:u w:val="single"/>
              </w:rPr>
              <w:t xml:space="preserve">Table 5: LMI </w:t>
            </w:r>
            <w:r w:rsidR="00D374D6" w:rsidRPr="00F81FCE">
              <w:rPr>
                <w:rFonts w:eastAsia="Times New Roman" w:cs="Times New Roman"/>
                <w:b/>
                <w:color w:val="000000"/>
                <w:u w:val="single"/>
              </w:rPr>
              <w:t>S</w:t>
            </w:r>
            <w:r w:rsidR="00D374D6">
              <w:rPr>
                <w:rFonts w:eastAsia="Times New Roman" w:cs="Times New Roman"/>
                <w:b/>
                <w:color w:val="000000"/>
                <w:u w:val="single"/>
              </w:rPr>
              <w:t>upply Indicators by</w:t>
            </w:r>
            <w:r w:rsidR="00D374D6" w:rsidRPr="00F81FCE">
              <w:rPr>
                <w:rFonts w:eastAsia="Times New Roman" w:cs="Times New Roman"/>
                <w:b/>
                <w:color w:val="000000"/>
                <w:u w:val="single"/>
              </w:rPr>
              <w:t xml:space="preserve"> Secondary &amp; </w:t>
            </w:r>
            <w:r w:rsidR="00D374D6">
              <w:rPr>
                <w:rFonts w:eastAsia="Times New Roman" w:cs="Times New Roman"/>
                <w:b/>
                <w:color w:val="000000"/>
                <w:u w:val="single"/>
              </w:rPr>
              <w:t>Post-Secondary Levels</w:t>
            </w:r>
          </w:p>
          <w:p w14:paraId="27E801DE" w14:textId="108FFEC6" w:rsidR="009F3086" w:rsidRPr="009F3086" w:rsidRDefault="00B71F97" w:rsidP="00CB206B">
            <w:pPr>
              <w:spacing w:after="0" w:line="276" w:lineRule="auto"/>
              <w:rPr>
                <w:rFonts w:eastAsia="Times New Roman" w:cs="Times New Roman"/>
                <w:bCs/>
                <w:i/>
                <w:color w:val="000000"/>
              </w:rPr>
            </w:pPr>
            <w:r w:rsidRPr="00D374D6">
              <w:rPr>
                <w:rFonts w:eastAsia="Times New Roman" w:cs="Times New Roman"/>
                <w:i/>
                <w:color w:val="000000"/>
              </w:rPr>
              <w:t xml:space="preserve">(see instructions on </w:t>
            </w:r>
            <w:r w:rsidRPr="00D374D6">
              <w:rPr>
                <w:rFonts w:eastAsia="Times New Roman" w:cs="Times New Roman"/>
                <w:bCs/>
                <w:i/>
                <w:color w:val="000000"/>
                <w:shd w:val="clear" w:color="auto" w:fill="FFFFFF" w:themeFill="background1"/>
              </w:rPr>
              <w:t xml:space="preserve">page </w:t>
            </w:r>
            <w:r w:rsidR="00186241">
              <w:rPr>
                <w:rFonts w:eastAsia="Times New Roman" w:cs="Times New Roman"/>
                <w:bCs/>
                <w:i/>
                <w:color w:val="000000"/>
                <w:shd w:val="clear" w:color="auto" w:fill="FFFFFF" w:themeFill="background1"/>
              </w:rPr>
              <w:t>8</w:t>
            </w:r>
            <w:r w:rsidRPr="00D374D6">
              <w:rPr>
                <w:rFonts w:eastAsia="Times New Roman" w:cs="Times New Roman"/>
                <w:bCs/>
                <w:i/>
                <w:color w:val="000000"/>
                <w:shd w:val="clear" w:color="auto" w:fill="FFFFFF" w:themeFill="background1"/>
              </w:rPr>
              <w:t>, LMI Instructions &amp; Guidance Document)</w:t>
            </w:r>
          </w:p>
        </w:tc>
        <w:tc>
          <w:tcPr>
            <w:tcW w:w="46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C5B32" w14:textId="77777777" w:rsidR="009F3086" w:rsidRPr="00BC42A7" w:rsidRDefault="009F3086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C42A7">
              <w:rPr>
                <w:rFonts w:eastAsia="Times New Roman" w:cs="Times New Roman"/>
                <w:b/>
                <w:bCs/>
                <w:color w:val="000000"/>
              </w:rPr>
              <w:t>Program Completion/Enrollment</w:t>
            </w:r>
          </w:p>
        </w:tc>
      </w:tr>
      <w:tr w:rsidR="009F3086" w:rsidRPr="00BC42A7" w14:paraId="2B36E803" w14:textId="77777777" w:rsidTr="00CA2C32">
        <w:trPr>
          <w:trHeight w:val="288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8425" w14:textId="38D31446" w:rsidR="009F3086" w:rsidRPr="00201766" w:rsidRDefault="009F3086" w:rsidP="0045735E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0176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Program </w:t>
            </w:r>
            <w:r w:rsidR="0045735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20176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ode</w:t>
            </w:r>
            <w:r w:rsidR="0045735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5735E" w:rsidRPr="0020176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(CIP)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45A6" w14:textId="77777777" w:rsidR="009F3086" w:rsidRPr="00201766" w:rsidRDefault="009F3086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0176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Program (CIP) Title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9D2B5" w14:textId="77777777" w:rsidR="009F3086" w:rsidRPr="00201766" w:rsidRDefault="009F3086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0176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6F0D" w14:textId="77777777" w:rsidR="009F3086" w:rsidRPr="00201766" w:rsidRDefault="009F3086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0176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2010-11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24F4" w14:textId="77777777" w:rsidR="009F3086" w:rsidRPr="00201766" w:rsidRDefault="009F3086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0176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9FAC" w14:textId="77777777" w:rsidR="009F3086" w:rsidRPr="00201766" w:rsidRDefault="009F3086" w:rsidP="00AF6501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0176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A6D11" w14:textId="061F0D09" w:rsidR="009F3086" w:rsidRPr="00201766" w:rsidRDefault="00E7231E" w:rsidP="00AF389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AF389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</w:t>
            </w:r>
            <w:r w:rsidR="009F3086" w:rsidRPr="0020176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-14</w:t>
            </w:r>
          </w:p>
        </w:tc>
      </w:tr>
      <w:tr w:rsidR="00201766" w:rsidRPr="00BC42A7" w14:paraId="084E29D4" w14:textId="77777777" w:rsidTr="00201766">
        <w:trPr>
          <w:trHeight w:val="30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6C94FB49" w14:textId="55179E7E" w:rsidR="00201766" w:rsidRPr="00E7379A" w:rsidRDefault="00201766" w:rsidP="00AF6501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7379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Total Post-Secondary Programs of Study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A7902FD" w14:textId="77777777" w:rsidR="00201766" w:rsidRPr="00201766" w:rsidRDefault="00201766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F746F82" w14:textId="77777777" w:rsidR="00201766" w:rsidRPr="00201766" w:rsidRDefault="00201766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30E6D8FF" w14:textId="77777777" w:rsidR="00201766" w:rsidRPr="00201766" w:rsidRDefault="00201766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14:paraId="231F7166" w14:textId="77777777" w:rsidR="00201766" w:rsidRPr="00201766" w:rsidRDefault="00201766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01766" w:rsidRPr="00BC42A7" w14:paraId="2B5C46BB" w14:textId="77777777" w:rsidTr="00CA2C32"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D865E5" w14:textId="267BB523" w:rsidR="00201766" w:rsidRPr="00E7379A" w:rsidRDefault="009126CF" w:rsidP="00AF650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13.1202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DCDB" w14:textId="5B508ABF" w:rsidR="00201766" w:rsidRPr="00201766" w:rsidRDefault="009126CF" w:rsidP="009126CF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Elementary Education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A8F28" w14:textId="7738A364" w:rsidR="00201766" w:rsidRPr="00201766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Delaware State University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C3F4" w14:textId="52E13DF2" w:rsidR="00201766" w:rsidRPr="00201766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39FC" w14:textId="26124841" w:rsidR="00201766" w:rsidRPr="00201766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916A4B" w14:textId="266AA933" w:rsidR="00201766" w:rsidRPr="00201766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76862" w14:textId="64E9DD38" w:rsidR="00201766" w:rsidRPr="00201766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126CF" w:rsidRPr="00BC42A7" w14:paraId="203BAD94" w14:textId="77777777" w:rsidTr="00CA2C32"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4CBA07" w14:textId="33D692FD" w:rsidR="009126CF" w:rsidRPr="00E7379A" w:rsidRDefault="009126CF" w:rsidP="00AF650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13.1202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6AC0" w14:textId="2C7EC555" w:rsidR="009126CF" w:rsidRDefault="009126CF" w:rsidP="009126CF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Elementary Education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0F0D0" w14:textId="16651B0F" w:rsidR="009126CF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University of Delaware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23B8" w14:textId="3FCBC55F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209C" w14:textId="075FACD3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E5E78D" w14:textId="7C75CFEC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F0CED6" w14:textId="4EB6968E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9126CF" w:rsidRPr="00BC42A7" w14:paraId="63ADA208" w14:textId="77777777" w:rsidTr="00CA2C32"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ED180C" w14:textId="49D1BA91" w:rsidR="009126CF" w:rsidRPr="00E7379A" w:rsidRDefault="009126CF" w:rsidP="00AF650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13.1202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4D1E" w14:textId="172DE5ED" w:rsidR="009126CF" w:rsidRDefault="009126CF" w:rsidP="009126CF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Elementary Education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B4530" w14:textId="56DA607B" w:rsidR="009126CF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Wesley College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16FE" w14:textId="12B42F0B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FA9F" w14:textId="257D831A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2B726A" w14:textId="5B1B4892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11F62" w14:textId="40BBF7DC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126CF" w:rsidRPr="00BC42A7" w14:paraId="33A675D9" w14:textId="77777777" w:rsidTr="00CA2C32"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6A351" w14:textId="0DEF3188" w:rsidR="009126CF" w:rsidRPr="00E7379A" w:rsidRDefault="009126CF" w:rsidP="00AF650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13.1202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59A8" w14:textId="1403E3DF" w:rsidR="009126CF" w:rsidRDefault="009126CF" w:rsidP="009126CF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Elementary Education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045FE" w14:textId="45BC50CC" w:rsidR="009126CF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Wilmington University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F173" w14:textId="64748563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089E5" w14:textId="652E1AA7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6C3BF" w14:textId="34C163E4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506102" w14:textId="7A21F8E4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201766" w:rsidRPr="00BC42A7" w14:paraId="7F8CC182" w14:textId="77777777" w:rsidTr="00CA2C32"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9450A3" w14:textId="3E07DE82" w:rsidR="00201766" w:rsidRPr="00E7379A" w:rsidRDefault="009126CF" w:rsidP="009126CF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13.1101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4FEF" w14:textId="295D3DBC" w:rsidR="00201766" w:rsidRPr="00201766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Counselor Education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5720B" w14:textId="09B522E3" w:rsidR="00201766" w:rsidRPr="00201766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Wilmington University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F155" w14:textId="05080F79" w:rsidR="00201766" w:rsidRPr="00201766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FB8F" w14:textId="2146407E" w:rsidR="00201766" w:rsidRPr="00201766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C160D5" w14:textId="1F24E9B5" w:rsidR="00201766" w:rsidRPr="00201766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ACBAF2" w14:textId="6626869D" w:rsidR="00201766" w:rsidRPr="00201766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9126CF" w:rsidRPr="00BC42A7" w14:paraId="236052C6" w14:textId="77777777" w:rsidTr="00CA2C32"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DFB4A5" w14:textId="415445BB" w:rsidR="009126CF" w:rsidRDefault="009126CF" w:rsidP="009126CF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13.0401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E460" w14:textId="5903DB91" w:rsidR="009126CF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Educational Leadership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306D3" w14:textId="040B3234" w:rsidR="009126CF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Delaware State University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9F3A" w14:textId="3C91B747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2DFE" w14:textId="3D30F616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72C68" w14:textId="1A5D74EC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F8864" w14:textId="0E5B4DCA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126CF" w:rsidRPr="00BC42A7" w14:paraId="536E0A8E" w14:textId="77777777" w:rsidTr="00CA2C32"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658947" w14:textId="458E29FC" w:rsidR="009126CF" w:rsidRDefault="009126CF" w:rsidP="009126CF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13.0401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335A" w14:textId="3F97D662" w:rsidR="009126CF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Educational Leadership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EACE9" w14:textId="3F083D8D" w:rsidR="009126CF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University of Delaware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1660" w14:textId="3A2E1CCB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2F67" w14:textId="16137808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BE43AE" w14:textId="03F08E0C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74C11" w14:textId="3E860C3F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126CF" w:rsidRPr="00BC42A7" w14:paraId="0DF4D7C0" w14:textId="77777777" w:rsidTr="00CA2C32"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5BE29E4" w14:textId="253DCBE2" w:rsidR="009126CF" w:rsidRDefault="009126CF" w:rsidP="009126CF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13.0401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D150" w14:textId="0505956E" w:rsidR="009126CF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Educational Leadership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BFE0D3" w14:textId="424244AC" w:rsidR="009126CF" w:rsidRDefault="009126CF" w:rsidP="00AF650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Wilmington University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D4AC" w14:textId="03515EAB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920A" w14:textId="63A973FA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6E7562" w14:textId="76D31DF4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9EBB8" w14:textId="1C310C35" w:rsidR="009126CF" w:rsidRDefault="009126CF" w:rsidP="00201766">
            <w:pPr>
              <w:spacing w:after="0" w:line="276" w:lineRule="auto"/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</w:tr>
    </w:tbl>
    <w:p w14:paraId="0BE5995C" w14:textId="16EA2DF7" w:rsidR="00B2730A" w:rsidRDefault="00B2730A" w:rsidP="00222E02">
      <w:pPr>
        <w:spacing w:after="0" w:line="276" w:lineRule="auto"/>
        <w:rPr>
          <w:rFonts w:eastAsia="Times New Roman" w:cs="Times New Roman"/>
          <w:color w:val="000000"/>
        </w:rPr>
      </w:pPr>
    </w:p>
    <w:p w14:paraId="5EB1F4EE" w14:textId="6CB40A48" w:rsidR="00B71F97" w:rsidRPr="00DB7DD0" w:rsidRDefault="00C40563" w:rsidP="00B71F97">
      <w:pPr>
        <w:spacing w:after="0" w:line="276" w:lineRule="auto"/>
        <w:rPr>
          <w:rFonts w:eastAsia="Times New Roman" w:cs="Times New Roman"/>
          <w:bCs/>
          <w:i/>
          <w:color w:val="000000"/>
          <w:shd w:val="clear" w:color="auto" w:fill="FFFFFF" w:themeFill="background1"/>
        </w:rPr>
      </w:pPr>
      <w:r>
        <w:rPr>
          <w:rFonts w:eastAsia="Times New Roman" w:cs="Times New Roman"/>
          <w:b/>
          <w:color w:val="000000"/>
          <w:u w:val="single"/>
        </w:rPr>
        <w:t xml:space="preserve">Table 5: </w:t>
      </w:r>
      <w:r w:rsidR="00B71F97">
        <w:rPr>
          <w:rFonts w:eastAsia="Times New Roman" w:cs="Times New Roman"/>
          <w:b/>
          <w:color w:val="000000"/>
          <w:u w:val="single"/>
        </w:rPr>
        <w:t xml:space="preserve">LMI </w:t>
      </w:r>
      <w:r w:rsidR="00B71F97" w:rsidRPr="00F81FCE">
        <w:rPr>
          <w:rFonts w:eastAsia="Times New Roman" w:cs="Times New Roman"/>
          <w:b/>
          <w:color w:val="000000"/>
          <w:u w:val="single"/>
        </w:rPr>
        <w:t>S</w:t>
      </w:r>
      <w:r w:rsidR="00B71F97">
        <w:rPr>
          <w:rFonts w:eastAsia="Times New Roman" w:cs="Times New Roman"/>
          <w:b/>
          <w:color w:val="000000"/>
          <w:u w:val="single"/>
        </w:rPr>
        <w:t>upply Indicators by</w:t>
      </w:r>
      <w:r w:rsidR="00B71F97" w:rsidRPr="00F81FCE">
        <w:rPr>
          <w:rFonts w:eastAsia="Times New Roman" w:cs="Times New Roman"/>
          <w:b/>
          <w:color w:val="000000"/>
          <w:u w:val="single"/>
        </w:rPr>
        <w:t xml:space="preserve"> Secondary &amp; </w:t>
      </w:r>
      <w:r w:rsidR="00B71F97">
        <w:rPr>
          <w:rFonts w:eastAsia="Times New Roman" w:cs="Times New Roman"/>
          <w:b/>
          <w:color w:val="000000"/>
          <w:u w:val="single"/>
        </w:rPr>
        <w:t>Post-Secondary Levels</w:t>
      </w:r>
      <w:r w:rsidR="00486D58">
        <w:rPr>
          <w:rFonts w:eastAsia="Times New Roman" w:cs="Times New Roman"/>
          <w:b/>
          <w:color w:val="000000"/>
          <w:u w:val="single"/>
        </w:rPr>
        <w:t xml:space="preserve"> (Questions/Analysis)</w:t>
      </w:r>
      <w:r w:rsidR="00486D58">
        <w:rPr>
          <w:rFonts w:eastAsia="Times New Roman" w:cs="Times New Roman"/>
          <w:b/>
          <w:color w:val="000000"/>
          <w:u w:val="single"/>
        </w:rPr>
        <w:br/>
      </w:r>
      <w:r w:rsidR="00B71F97" w:rsidRPr="00D374D6">
        <w:rPr>
          <w:rFonts w:eastAsia="Times New Roman" w:cs="Times New Roman"/>
          <w:i/>
          <w:color w:val="000000"/>
        </w:rPr>
        <w:t xml:space="preserve">(see instructions on </w:t>
      </w:r>
      <w:r w:rsidR="00B71F97" w:rsidRPr="00D374D6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 xml:space="preserve">page </w:t>
      </w:r>
      <w:r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9</w:t>
      </w:r>
      <w:r w:rsidR="00B71F97" w:rsidRPr="00D374D6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, LMI Instructions &amp; Guidance Document)</w:t>
      </w:r>
    </w:p>
    <w:p w14:paraId="039D6D4F" w14:textId="061FA24A" w:rsidR="00B71F97" w:rsidRDefault="00973669" w:rsidP="00B71F97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How i</w:t>
      </w:r>
      <w:r w:rsidR="00C85F7C">
        <w:rPr>
          <w:rFonts w:eastAsia="Times New Roman" w:cs="Times New Roman"/>
          <w:color w:val="000000"/>
        </w:rPr>
        <w:t>s the s</w:t>
      </w:r>
      <w:r w:rsidR="00B71F97" w:rsidRPr="0036721F">
        <w:rPr>
          <w:rFonts w:eastAsia="Times New Roman" w:cs="Times New Roman"/>
          <w:color w:val="000000"/>
        </w:rPr>
        <w:t xml:space="preserve">econdary </w:t>
      </w:r>
      <w:r w:rsidR="00C85F7C">
        <w:rPr>
          <w:rFonts w:eastAsia="Times New Roman" w:cs="Times New Roman"/>
          <w:color w:val="000000"/>
        </w:rPr>
        <w:t>p</w:t>
      </w:r>
      <w:r w:rsidR="00B71F97" w:rsidRPr="0036721F">
        <w:rPr>
          <w:rFonts w:eastAsia="Times New Roman" w:cs="Times New Roman"/>
          <w:color w:val="000000"/>
        </w:rPr>
        <w:t xml:space="preserve">rogram </w:t>
      </w:r>
      <w:r w:rsidR="00C85F7C">
        <w:rPr>
          <w:rFonts w:eastAsia="Times New Roman" w:cs="Times New Roman"/>
          <w:color w:val="000000"/>
        </w:rPr>
        <w:t xml:space="preserve">of study </w:t>
      </w:r>
      <w:r w:rsidR="00B71F97" w:rsidRPr="0036721F">
        <w:rPr>
          <w:rFonts w:eastAsia="Times New Roman" w:cs="Times New Roman"/>
          <w:color w:val="000000"/>
        </w:rPr>
        <w:t xml:space="preserve">articulated to or in any way related to the identified </w:t>
      </w:r>
      <w:r w:rsidR="00C85F7C">
        <w:rPr>
          <w:rFonts w:eastAsia="Times New Roman" w:cs="Times New Roman"/>
          <w:color w:val="000000"/>
        </w:rPr>
        <w:t>p</w:t>
      </w:r>
      <w:r w:rsidR="00B71F97" w:rsidRPr="0036721F">
        <w:rPr>
          <w:rFonts w:eastAsia="Times New Roman" w:cs="Times New Roman"/>
          <w:color w:val="000000"/>
        </w:rPr>
        <w:t>ost-</w:t>
      </w:r>
      <w:r w:rsidR="00C85F7C">
        <w:rPr>
          <w:rFonts w:eastAsia="Times New Roman" w:cs="Times New Roman"/>
          <w:color w:val="000000"/>
        </w:rPr>
        <w:t>s</w:t>
      </w:r>
      <w:r w:rsidR="00B71F97" w:rsidRPr="0036721F">
        <w:rPr>
          <w:rFonts w:eastAsia="Times New Roman" w:cs="Times New Roman"/>
          <w:color w:val="000000"/>
        </w:rPr>
        <w:t xml:space="preserve">econdary </w:t>
      </w:r>
      <w:r w:rsidR="00C85F7C">
        <w:rPr>
          <w:rFonts w:eastAsia="Times New Roman" w:cs="Times New Roman"/>
          <w:color w:val="000000"/>
        </w:rPr>
        <w:t>p</w:t>
      </w:r>
      <w:r w:rsidR="00B71F97" w:rsidRPr="0036721F">
        <w:rPr>
          <w:rFonts w:eastAsia="Times New Roman" w:cs="Times New Roman"/>
          <w:color w:val="000000"/>
        </w:rPr>
        <w:t>rogram</w:t>
      </w:r>
      <w:r w:rsidR="00B71F97">
        <w:rPr>
          <w:rFonts w:eastAsia="Times New Roman" w:cs="Times New Roman"/>
          <w:color w:val="000000"/>
        </w:rPr>
        <w:t>(s)</w:t>
      </w:r>
      <w:r w:rsidR="00B71F97" w:rsidRPr="0036721F">
        <w:rPr>
          <w:rFonts w:eastAsia="Times New Roman" w:cs="Times New Roman"/>
          <w:color w:val="000000"/>
        </w:rPr>
        <w:t>?</w:t>
      </w:r>
    </w:p>
    <w:p w14:paraId="665C980C" w14:textId="77777777" w:rsidR="009D11F1" w:rsidRDefault="009D11F1" w:rsidP="009D11F1">
      <w:pPr>
        <w:pStyle w:val="ListParagraph"/>
        <w:spacing w:after="0" w:line="276" w:lineRule="auto"/>
        <w:ind w:left="360"/>
        <w:rPr>
          <w:rFonts w:eastAsia="Times New Roman" w:cs="Times New Roman"/>
          <w:color w:val="000000"/>
        </w:rPr>
      </w:pPr>
    </w:p>
    <w:p w14:paraId="40E086E9" w14:textId="2BBF0CFD" w:rsidR="0020582C" w:rsidRPr="009D11F1" w:rsidRDefault="00A64A0F" w:rsidP="009663F4">
      <w:pPr>
        <w:spacing w:after="0" w:line="276" w:lineRule="auto"/>
        <w:ind w:left="36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Agreements</w:t>
      </w:r>
      <w:r w:rsidR="009D11F1" w:rsidRPr="009D11F1">
        <w:rPr>
          <w:rFonts w:eastAsia="Times New Roman" w:cs="Times New Roman"/>
          <w:b/>
          <w:color w:val="000000"/>
        </w:rPr>
        <w:t xml:space="preserve"> are in place with Delaware Technical Community College and Wilmington University</w:t>
      </w:r>
      <w:r w:rsidR="0078373F">
        <w:rPr>
          <w:rFonts w:eastAsia="Times New Roman" w:cs="Times New Roman"/>
          <w:b/>
          <w:color w:val="000000"/>
        </w:rPr>
        <w:t xml:space="preserve"> for the dual enrollment courses.  Both have a </w:t>
      </w:r>
      <w:r w:rsidR="0078373F" w:rsidRPr="009D11F1">
        <w:rPr>
          <w:rFonts w:eastAsia="Times New Roman" w:cs="Times New Roman"/>
          <w:b/>
          <w:color w:val="000000"/>
        </w:rPr>
        <w:t>direct</w:t>
      </w:r>
      <w:r w:rsidR="009D11F1" w:rsidRPr="009D11F1">
        <w:rPr>
          <w:rFonts w:eastAsia="Times New Roman" w:cs="Times New Roman"/>
          <w:b/>
          <w:color w:val="000000"/>
        </w:rPr>
        <w:t xml:space="preserve"> correlation to the secondary program of study.  Additionally, articulations for advanced standing are underway with Delaware State University and Wesley College.  </w:t>
      </w:r>
    </w:p>
    <w:p w14:paraId="00A4775C" w14:textId="77777777" w:rsidR="0020582C" w:rsidRPr="0020582C" w:rsidRDefault="0020582C" w:rsidP="0020582C">
      <w:pPr>
        <w:spacing w:after="0" w:line="276" w:lineRule="auto"/>
        <w:rPr>
          <w:rFonts w:eastAsia="Times New Roman" w:cs="Times New Roman"/>
          <w:color w:val="000000"/>
        </w:rPr>
      </w:pPr>
    </w:p>
    <w:p w14:paraId="7BE357A0" w14:textId="075C0843" w:rsidR="00B71F97" w:rsidRDefault="00B71F97" w:rsidP="00056FFA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000000"/>
        </w:rPr>
      </w:pPr>
      <w:r w:rsidRPr="0036721F">
        <w:rPr>
          <w:rFonts w:eastAsia="Times New Roman" w:cs="Times New Roman"/>
          <w:color w:val="000000"/>
        </w:rPr>
        <w:t xml:space="preserve">How does the annual completion data </w:t>
      </w:r>
      <w:r w:rsidR="00C85F7C">
        <w:rPr>
          <w:rFonts w:eastAsia="Times New Roman" w:cs="Times New Roman"/>
          <w:color w:val="000000"/>
        </w:rPr>
        <w:t>at the s</w:t>
      </w:r>
      <w:r>
        <w:rPr>
          <w:rFonts w:eastAsia="Times New Roman" w:cs="Times New Roman"/>
          <w:color w:val="000000"/>
        </w:rPr>
        <w:t xml:space="preserve">econdary and </w:t>
      </w:r>
      <w:r w:rsidR="00C85F7C">
        <w:rPr>
          <w:rFonts w:eastAsia="Times New Roman" w:cs="Times New Roman"/>
          <w:color w:val="000000"/>
        </w:rPr>
        <w:t>p</w:t>
      </w:r>
      <w:r>
        <w:rPr>
          <w:rFonts w:eastAsia="Times New Roman" w:cs="Times New Roman"/>
          <w:color w:val="000000"/>
        </w:rPr>
        <w:t>ost-</w:t>
      </w:r>
      <w:r w:rsidR="00C85F7C">
        <w:rPr>
          <w:rFonts w:eastAsia="Times New Roman" w:cs="Times New Roman"/>
          <w:color w:val="000000"/>
        </w:rPr>
        <w:t>s</w:t>
      </w:r>
      <w:r>
        <w:rPr>
          <w:rFonts w:eastAsia="Times New Roman" w:cs="Times New Roman"/>
          <w:color w:val="000000"/>
        </w:rPr>
        <w:t xml:space="preserve">econdary level </w:t>
      </w:r>
      <w:r w:rsidRPr="0036721F">
        <w:rPr>
          <w:rFonts w:eastAsia="Times New Roman" w:cs="Times New Roman"/>
          <w:color w:val="000000"/>
        </w:rPr>
        <w:t xml:space="preserve">compare </w:t>
      </w:r>
      <w:r>
        <w:rPr>
          <w:rFonts w:eastAsia="Times New Roman" w:cs="Times New Roman"/>
          <w:color w:val="000000"/>
        </w:rPr>
        <w:t>to</w:t>
      </w:r>
      <w:r w:rsidRPr="0036721F">
        <w:rPr>
          <w:rFonts w:eastAsia="Times New Roman" w:cs="Times New Roman"/>
          <w:color w:val="000000"/>
        </w:rPr>
        <w:t xml:space="preserve"> the </w:t>
      </w:r>
      <w:r>
        <w:rPr>
          <w:rFonts w:eastAsia="Times New Roman" w:cs="Times New Roman"/>
          <w:color w:val="000000"/>
        </w:rPr>
        <w:t xml:space="preserve">projected career </w:t>
      </w:r>
      <w:r w:rsidRPr="0036721F">
        <w:rPr>
          <w:rFonts w:eastAsia="Times New Roman" w:cs="Times New Roman"/>
          <w:color w:val="000000"/>
        </w:rPr>
        <w:t xml:space="preserve">pathway-related projected job openings in Table </w:t>
      </w:r>
      <w:r w:rsidR="00AB7D0B">
        <w:rPr>
          <w:rFonts w:eastAsia="Times New Roman" w:cs="Times New Roman"/>
          <w:color w:val="000000"/>
        </w:rPr>
        <w:t>4</w:t>
      </w:r>
      <w:r w:rsidRPr="0036721F">
        <w:rPr>
          <w:rFonts w:eastAsia="Times New Roman" w:cs="Times New Roman"/>
          <w:color w:val="000000"/>
        </w:rPr>
        <w:t>?</w:t>
      </w:r>
    </w:p>
    <w:p w14:paraId="38E5F49F" w14:textId="77777777" w:rsidR="009D11F1" w:rsidRDefault="009D11F1" w:rsidP="009D11F1">
      <w:pPr>
        <w:pStyle w:val="ListParagraph"/>
        <w:spacing w:after="0" w:line="276" w:lineRule="auto"/>
        <w:ind w:left="360"/>
        <w:rPr>
          <w:rFonts w:eastAsia="Times New Roman" w:cs="Times New Roman"/>
          <w:color w:val="000000"/>
        </w:rPr>
      </w:pPr>
    </w:p>
    <w:p w14:paraId="500147FE" w14:textId="2429048C" w:rsidR="0020582C" w:rsidRPr="009D11F1" w:rsidRDefault="009D11F1" w:rsidP="009663F4">
      <w:pPr>
        <w:spacing w:after="0" w:line="276" w:lineRule="auto"/>
        <w:ind w:left="360"/>
        <w:rPr>
          <w:rFonts w:eastAsia="Times New Roman" w:cs="Times New Roman"/>
          <w:b/>
          <w:color w:val="000000"/>
        </w:rPr>
      </w:pPr>
      <w:r w:rsidRPr="009D11F1">
        <w:rPr>
          <w:rFonts w:eastAsia="Times New Roman" w:cs="Times New Roman"/>
          <w:b/>
          <w:color w:val="000000"/>
        </w:rPr>
        <w:t>There is a strong connection between the secondary and post-secondary degree optio</w:t>
      </w:r>
      <w:r w:rsidR="0078373F">
        <w:rPr>
          <w:rFonts w:eastAsia="Times New Roman" w:cs="Times New Roman"/>
          <w:b/>
          <w:color w:val="000000"/>
        </w:rPr>
        <w:t>ns.  S</w:t>
      </w:r>
      <w:r w:rsidRPr="009D11F1">
        <w:rPr>
          <w:rFonts w:eastAsia="Times New Roman" w:cs="Times New Roman"/>
          <w:b/>
          <w:color w:val="000000"/>
        </w:rPr>
        <w:t xml:space="preserve">tudents </w:t>
      </w:r>
      <w:r>
        <w:rPr>
          <w:rFonts w:eastAsia="Times New Roman" w:cs="Times New Roman"/>
          <w:b/>
          <w:color w:val="000000"/>
        </w:rPr>
        <w:t>can</w:t>
      </w:r>
      <w:r w:rsidRPr="009D11F1">
        <w:rPr>
          <w:rFonts w:eastAsia="Times New Roman" w:cs="Times New Roman"/>
          <w:b/>
          <w:color w:val="000000"/>
        </w:rPr>
        <w:t xml:space="preserve"> earn early college credit </w:t>
      </w:r>
      <w:r>
        <w:rPr>
          <w:rFonts w:eastAsia="Times New Roman" w:cs="Times New Roman"/>
          <w:b/>
          <w:color w:val="000000"/>
        </w:rPr>
        <w:t xml:space="preserve">and have ample internship opportunities </w:t>
      </w:r>
      <w:r w:rsidRPr="009D11F1">
        <w:rPr>
          <w:rFonts w:eastAsia="Times New Roman" w:cs="Times New Roman"/>
          <w:b/>
          <w:color w:val="000000"/>
        </w:rPr>
        <w:t xml:space="preserve">by completing the program of study.  </w:t>
      </w:r>
    </w:p>
    <w:p w14:paraId="75286ED9" w14:textId="77777777" w:rsidR="00A64A0F" w:rsidRDefault="00A64A0F" w:rsidP="00056FFA">
      <w:pPr>
        <w:spacing w:after="0" w:line="276" w:lineRule="auto"/>
        <w:rPr>
          <w:rFonts w:eastAsia="Times New Roman" w:cs="Times New Roman"/>
          <w:b/>
          <w:color w:val="000000"/>
          <w:u w:val="single"/>
        </w:rPr>
      </w:pPr>
    </w:p>
    <w:p w14:paraId="59EF3C56" w14:textId="6CD4D9C6" w:rsidR="0020582C" w:rsidRPr="00F81FCE" w:rsidRDefault="0020582C" w:rsidP="00056FFA">
      <w:pPr>
        <w:spacing w:after="0" w:line="276" w:lineRule="auto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 xml:space="preserve">Table 6: </w:t>
      </w:r>
      <w:r w:rsidR="009C5BF5">
        <w:rPr>
          <w:rFonts w:eastAsia="Times New Roman" w:cs="Times New Roman"/>
          <w:b/>
          <w:color w:val="000000"/>
          <w:u w:val="single"/>
        </w:rPr>
        <w:t xml:space="preserve">Other LMI </w:t>
      </w:r>
      <w:r w:rsidR="007659BC">
        <w:rPr>
          <w:rFonts w:eastAsia="Times New Roman" w:cs="Times New Roman"/>
          <w:b/>
          <w:color w:val="000000"/>
          <w:u w:val="single"/>
        </w:rPr>
        <w:t xml:space="preserve">Data </w:t>
      </w:r>
      <w:r w:rsidR="009C5BF5">
        <w:rPr>
          <w:rFonts w:eastAsia="Times New Roman" w:cs="Times New Roman"/>
          <w:b/>
          <w:color w:val="000000"/>
          <w:u w:val="single"/>
        </w:rPr>
        <w:t xml:space="preserve">Including </w:t>
      </w:r>
      <w:r w:rsidRPr="00F81FCE">
        <w:rPr>
          <w:rFonts w:eastAsia="Times New Roman" w:cs="Times New Roman"/>
          <w:b/>
          <w:color w:val="000000"/>
          <w:u w:val="single"/>
        </w:rPr>
        <w:t xml:space="preserve">Real-Time LMI </w:t>
      </w:r>
      <w:r w:rsidR="002A5F23">
        <w:rPr>
          <w:rFonts w:eastAsia="Times New Roman" w:cs="Times New Roman"/>
          <w:b/>
          <w:color w:val="000000"/>
          <w:u w:val="single"/>
        </w:rPr>
        <w:t>(Questions/Analysis)</w:t>
      </w:r>
    </w:p>
    <w:p w14:paraId="2A960FF7" w14:textId="5A97D35F" w:rsidR="0020582C" w:rsidRDefault="0020582C" w:rsidP="0020582C">
      <w:pPr>
        <w:spacing w:after="0" w:line="276" w:lineRule="auto"/>
        <w:rPr>
          <w:rFonts w:eastAsia="Times New Roman" w:cs="Times New Roman"/>
          <w:bCs/>
          <w:i/>
          <w:color w:val="000000"/>
          <w:shd w:val="clear" w:color="auto" w:fill="FFFFFF" w:themeFill="background1"/>
        </w:rPr>
      </w:pPr>
      <w:r w:rsidRPr="00D374D6">
        <w:rPr>
          <w:rFonts w:eastAsia="Times New Roman" w:cs="Times New Roman"/>
          <w:i/>
          <w:color w:val="000000"/>
        </w:rPr>
        <w:t xml:space="preserve">(see instructions on </w:t>
      </w:r>
      <w:r w:rsidR="00D46E7B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page 10</w:t>
      </w:r>
      <w:r w:rsidRPr="00D374D6">
        <w:rPr>
          <w:rFonts w:eastAsia="Times New Roman" w:cs="Times New Roman"/>
          <w:bCs/>
          <w:i/>
          <w:color w:val="000000"/>
          <w:shd w:val="clear" w:color="auto" w:fill="FFFFFF" w:themeFill="background1"/>
        </w:rPr>
        <w:t>, LMI Instructions &amp; Guidance Document)</w:t>
      </w:r>
    </w:p>
    <w:p w14:paraId="3378A3A3" w14:textId="6C52BA3C" w:rsidR="00EA77E8" w:rsidRDefault="00EA77E8" w:rsidP="0020582C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="Times New Roman"/>
          <w:color w:val="000000"/>
        </w:rPr>
      </w:pPr>
      <w:r w:rsidRPr="00222E02">
        <w:rPr>
          <w:rFonts w:eastAsia="Times New Roman" w:cs="Times New Roman"/>
          <w:color w:val="000000"/>
        </w:rPr>
        <w:t xml:space="preserve">Are there additional LMI data </w:t>
      </w:r>
      <w:r>
        <w:rPr>
          <w:rFonts w:eastAsia="Times New Roman" w:cs="Times New Roman"/>
          <w:color w:val="000000"/>
        </w:rPr>
        <w:t xml:space="preserve">(demand &amp; supply) </w:t>
      </w:r>
      <w:r w:rsidRPr="00222E02">
        <w:rPr>
          <w:rFonts w:eastAsia="Times New Roman" w:cs="Times New Roman"/>
          <w:color w:val="000000"/>
        </w:rPr>
        <w:t xml:space="preserve">at the </w:t>
      </w:r>
      <w:r>
        <w:rPr>
          <w:rFonts w:eastAsia="Times New Roman" w:cs="Times New Roman"/>
          <w:color w:val="000000"/>
        </w:rPr>
        <w:t xml:space="preserve">local, </w:t>
      </w:r>
      <w:r w:rsidRPr="00222E02">
        <w:rPr>
          <w:rFonts w:eastAsia="Times New Roman" w:cs="Times New Roman"/>
          <w:color w:val="000000"/>
        </w:rPr>
        <w:t>county</w:t>
      </w:r>
      <w:r>
        <w:rPr>
          <w:rFonts w:eastAsia="Times New Roman" w:cs="Times New Roman"/>
          <w:color w:val="000000"/>
        </w:rPr>
        <w:t>, state,</w:t>
      </w:r>
      <w:r w:rsidRPr="00222E02">
        <w:rPr>
          <w:rFonts w:eastAsia="Times New Roman" w:cs="Times New Roman"/>
          <w:color w:val="000000"/>
        </w:rPr>
        <w:t xml:space="preserve"> or Mid-Atlantic region that support starting a new program</w:t>
      </w:r>
      <w:r w:rsidR="00837896">
        <w:rPr>
          <w:rFonts w:eastAsia="Times New Roman" w:cs="Times New Roman"/>
          <w:color w:val="000000"/>
        </w:rPr>
        <w:t xml:space="preserve"> of study</w:t>
      </w:r>
      <w:r w:rsidRPr="00222E02">
        <w:rPr>
          <w:rFonts w:eastAsia="Times New Roman" w:cs="Times New Roman"/>
          <w:color w:val="000000"/>
        </w:rPr>
        <w:t xml:space="preserve"> in this pathway?</w:t>
      </w:r>
      <w:r>
        <w:rPr>
          <w:rFonts w:eastAsia="Times New Roman" w:cs="Times New Roman"/>
          <w:color w:val="000000"/>
        </w:rPr>
        <w:t xml:space="preserve">  This includes </w:t>
      </w:r>
      <w:r w:rsidRPr="00222E02">
        <w:rPr>
          <w:rFonts w:eastAsia="Times New Roman" w:cs="Times New Roman"/>
          <w:color w:val="000000"/>
        </w:rPr>
        <w:t xml:space="preserve">additional occupations </w:t>
      </w:r>
      <w:r>
        <w:rPr>
          <w:rFonts w:eastAsia="Times New Roman" w:cs="Times New Roman"/>
          <w:color w:val="000000"/>
        </w:rPr>
        <w:t>for which there is not an SOC, any other analysis of LMI data, and any additional information on demand &amp; supply factors that influence employment which</w:t>
      </w:r>
      <w:r w:rsidR="00556667">
        <w:rPr>
          <w:rFonts w:eastAsia="Times New Roman" w:cs="Times New Roman"/>
          <w:color w:val="000000"/>
        </w:rPr>
        <w:t xml:space="preserve"> can </w:t>
      </w:r>
      <w:r>
        <w:rPr>
          <w:rFonts w:eastAsia="Times New Roman" w:cs="Times New Roman"/>
          <w:color w:val="000000"/>
        </w:rPr>
        <w:t>include</w:t>
      </w:r>
      <w:r w:rsidR="0055666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real-time labor market information.</w:t>
      </w:r>
    </w:p>
    <w:p w14:paraId="23A6DF14" w14:textId="77777777" w:rsidR="00A86FE7" w:rsidRDefault="00A86FE7" w:rsidP="0020582C">
      <w:pPr>
        <w:spacing w:after="0" w:line="276" w:lineRule="auto"/>
        <w:rPr>
          <w:rFonts w:eastAsia="Times New Roman" w:cs="Times New Roman"/>
          <w:color w:val="000000"/>
        </w:rPr>
      </w:pPr>
    </w:p>
    <w:p w14:paraId="53C8DA4E" w14:textId="2971C46C" w:rsidR="00A86FE7" w:rsidRPr="00A64A0F" w:rsidRDefault="00A86FE7" w:rsidP="009663F4">
      <w:pPr>
        <w:spacing w:after="0" w:line="276" w:lineRule="auto"/>
        <w:ind w:left="360"/>
        <w:rPr>
          <w:rFonts w:eastAsia="Times New Roman" w:cs="Times New Roman"/>
          <w:b/>
          <w:color w:val="000000"/>
        </w:rPr>
      </w:pPr>
      <w:r w:rsidRPr="00A64A0F">
        <w:rPr>
          <w:rFonts w:eastAsia="Times New Roman" w:cs="Times New Roman"/>
          <w:b/>
          <w:color w:val="000000"/>
        </w:rPr>
        <w:t xml:space="preserve">There are approximately 9,064 teachers </w:t>
      </w:r>
      <w:r w:rsidR="0078373F">
        <w:rPr>
          <w:rFonts w:eastAsia="Times New Roman" w:cs="Times New Roman"/>
          <w:b/>
          <w:color w:val="000000"/>
        </w:rPr>
        <w:t>in Delaware</w:t>
      </w:r>
      <w:r w:rsidRPr="00A64A0F">
        <w:rPr>
          <w:rFonts w:eastAsia="Times New Roman" w:cs="Times New Roman"/>
          <w:b/>
          <w:color w:val="000000"/>
        </w:rPr>
        <w:t xml:space="preserve">.   Of those teachers, 21% currently have 25 or more years of experience or are at least 55 years of age.  </w:t>
      </w:r>
      <w:r w:rsidR="0078373F">
        <w:rPr>
          <w:rFonts w:eastAsia="Times New Roman" w:cs="Times New Roman"/>
          <w:b/>
          <w:color w:val="000000"/>
        </w:rPr>
        <w:t>Therefore,</w:t>
      </w:r>
      <w:r w:rsidRPr="00A64A0F">
        <w:rPr>
          <w:rFonts w:eastAsia="Times New Roman" w:cs="Times New Roman"/>
          <w:b/>
          <w:color w:val="000000"/>
        </w:rPr>
        <w:t xml:space="preserve"> 21% of the teaching workforce is eligible to retire</w:t>
      </w:r>
      <w:r w:rsidR="0078373F">
        <w:rPr>
          <w:rFonts w:eastAsia="Times New Roman" w:cs="Times New Roman"/>
          <w:b/>
          <w:color w:val="000000"/>
        </w:rPr>
        <w:t xml:space="preserve"> which could result in</w:t>
      </w:r>
      <w:r w:rsidRPr="00A64A0F">
        <w:rPr>
          <w:rFonts w:eastAsia="Times New Roman" w:cs="Times New Roman"/>
          <w:b/>
          <w:color w:val="000000"/>
        </w:rPr>
        <w:t xml:space="preserve"> approximately 1,868 </w:t>
      </w:r>
      <w:r w:rsidR="0078373F">
        <w:rPr>
          <w:rFonts w:eastAsia="Times New Roman" w:cs="Times New Roman"/>
          <w:b/>
          <w:color w:val="000000"/>
        </w:rPr>
        <w:t xml:space="preserve">vacant </w:t>
      </w:r>
      <w:r w:rsidRPr="00A64A0F">
        <w:rPr>
          <w:rFonts w:eastAsia="Times New Roman" w:cs="Times New Roman"/>
          <w:b/>
          <w:color w:val="000000"/>
        </w:rPr>
        <w:t xml:space="preserve">teaching positions.  </w:t>
      </w:r>
    </w:p>
    <w:sectPr w:rsidR="00A86FE7" w:rsidRPr="00A64A0F" w:rsidSect="00FC3B18">
      <w:footerReference w:type="default" r:id="rId9"/>
      <w:pgSz w:w="15840" w:h="12240" w:orient="landscape"/>
      <w:pgMar w:top="1260" w:right="117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AE3F6" w14:textId="77777777" w:rsidR="00B110FD" w:rsidRDefault="00B110FD" w:rsidP="00E56944">
      <w:pPr>
        <w:spacing w:after="0" w:line="240" w:lineRule="auto"/>
      </w:pPr>
      <w:r>
        <w:separator/>
      </w:r>
    </w:p>
  </w:endnote>
  <w:endnote w:type="continuationSeparator" w:id="0">
    <w:p w14:paraId="552374D8" w14:textId="77777777" w:rsidR="00B110FD" w:rsidRDefault="00B110FD" w:rsidP="00E5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16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29C2D" w14:textId="2F1DC7F1" w:rsidR="00FC3B18" w:rsidRDefault="00FC3B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0E1FD9" w14:textId="4E4D1329" w:rsidR="00FC3B18" w:rsidRDefault="00FC3B18">
    <w:pPr>
      <w:pStyle w:val="Footer"/>
    </w:pPr>
    <w:r>
      <w:t>Delaware Department of Education</w:t>
    </w:r>
    <w:r>
      <w:tab/>
    </w:r>
    <w:r>
      <w:tab/>
    </w:r>
    <w:r>
      <w:tab/>
    </w:r>
    <w:r>
      <w:tab/>
    </w:r>
    <w:r w:rsidR="00CA2C32">
      <w:t>July 2016</w:t>
    </w:r>
  </w:p>
  <w:p w14:paraId="3B588758" w14:textId="77777777" w:rsidR="00CA2C32" w:rsidRDefault="00CA2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C667" w14:textId="77777777" w:rsidR="00B110FD" w:rsidRDefault="00B110FD" w:rsidP="00E56944">
      <w:pPr>
        <w:spacing w:after="0" w:line="240" w:lineRule="auto"/>
      </w:pPr>
      <w:r>
        <w:separator/>
      </w:r>
    </w:p>
  </w:footnote>
  <w:footnote w:type="continuationSeparator" w:id="0">
    <w:p w14:paraId="778943D8" w14:textId="77777777" w:rsidR="00B110FD" w:rsidRDefault="00B110FD" w:rsidP="00E5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61D"/>
    <w:multiLevelType w:val="hybridMultilevel"/>
    <w:tmpl w:val="1D42F884"/>
    <w:lvl w:ilvl="0" w:tplc="B7EA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D61"/>
    <w:multiLevelType w:val="hybridMultilevel"/>
    <w:tmpl w:val="3F563FB6"/>
    <w:lvl w:ilvl="0" w:tplc="B7EA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7D4C"/>
    <w:multiLevelType w:val="hybridMultilevel"/>
    <w:tmpl w:val="D1F09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0D3A"/>
    <w:multiLevelType w:val="hybridMultilevel"/>
    <w:tmpl w:val="C004E120"/>
    <w:lvl w:ilvl="0" w:tplc="71DA39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196F"/>
    <w:multiLevelType w:val="hybridMultilevel"/>
    <w:tmpl w:val="93F8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6F91"/>
    <w:multiLevelType w:val="hybridMultilevel"/>
    <w:tmpl w:val="93F8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E1E28"/>
    <w:multiLevelType w:val="hybridMultilevel"/>
    <w:tmpl w:val="1CF2F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6C56"/>
    <w:multiLevelType w:val="hybridMultilevel"/>
    <w:tmpl w:val="1D42F884"/>
    <w:lvl w:ilvl="0" w:tplc="B7EA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D5A6F"/>
    <w:multiLevelType w:val="hybridMultilevel"/>
    <w:tmpl w:val="40464ACA"/>
    <w:lvl w:ilvl="0" w:tplc="9CCCB9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7C0F14"/>
    <w:multiLevelType w:val="hybridMultilevel"/>
    <w:tmpl w:val="04CE8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A3115F"/>
    <w:multiLevelType w:val="hybridMultilevel"/>
    <w:tmpl w:val="B8B2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31FC5"/>
    <w:multiLevelType w:val="hybridMultilevel"/>
    <w:tmpl w:val="E8E8C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3511D"/>
    <w:multiLevelType w:val="hybridMultilevel"/>
    <w:tmpl w:val="110EC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3D82"/>
    <w:multiLevelType w:val="hybridMultilevel"/>
    <w:tmpl w:val="04CE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06605"/>
    <w:multiLevelType w:val="hybridMultilevel"/>
    <w:tmpl w:val="1D42F884"/>
    <w:lvl w:ilvl="0" w:tplc="B7EA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8255D"/>
    <w:multiLevelType w:val="hybridMultilevel"/>
    <w:tmpl w:val="B8B2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87F67"/>
    <w:multiLevelType w:val="hybridMultilevel"/>
    <w:tmpl w:val="0A32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6"/>
  </w:num>
  <w:num w:numId="6">
    <w:abstractNumId w:val="16"/>
  </w:num>
  <w:num w:numId="7">
    <w:abstractNumId w:val="15"/>
  </w:num>
  <w:num w:numId="8">
    <w:abstractNumId w:val="4"/>
  </w:num>
  <w:num w:numId="9">
    <w:abstractNumId w:val="14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  <w:num w:numId="14">
    <w:abstractNumId w:val="13"/>
  </w:num>
  <w:num w:numId="15">
    <w:abstractNumId w:val="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8A"/>
    <w:rsid w:val="00026B3C"/>
    <w:rsid w:val="000422AC"/>
    <w:rsid w:val="00054221"/>
    <w:rsid w:val="00056FFA"/>
    <w:rsid w:val="000572AB"/>
    <w:rsid w:val="00080C7D"/>
    <w:rsid w:val="00084564"/>
    <w:rsid w:val="00084FF8"/>
    <w:rsid w:val="00086F8E"/>
    <w:rsid w:val="000875B2"/>
    <w:rsid w:val="000A1223"/>
    <w:rsid w:val="000A3609"/>
    <w:rsid w:val="000C0AF9"/>
    <w:rsid w:val="000D02C3"/>
    <w:rsid w:val="000D0919"/>
    <w:rsid w:val="000D3D1B"/>
    <w:rsid w:val="000E6CEC"/>
    <w:rsid w:val="000E7AD2"/>
    <w:rsid w:val="000E7C5F"/>
    <w:rsid w:val="000F16E6"/>
    <w:rsid w:val="00106061"/>
    <w:rsid w:val="001143EA"/>
    <w:rsid w:val="001145EA"/>
    <w:rsid w:val="0012006A"/>
    <w:rsid w:val="00135C44"/>
    <w:rsid w:val="00141D30"/>
    <w:rsid w:val="0014677D"/>
    <w:rsid w:val="00162DCA"/>
    <w:rsid w:val="00173E94"/>
    <w:rsid w:val="00175AB0"/>
    <w:rsid w:val="0018344A"/>
    <w:rsid w:val="00186241"/>
    <w:rsid w:val="00194B50"/>
    <w:rsid w:val="00196B43"/>
    <w:rsid w:val="001A361A"/>
    <w:rsid w:val="001A36B1"/>
    <w:rsid w:val="001B69A2"/>
    <w:rsid w:val="001D0E6B"/>
    <w:rsid w:val="001E1BB3"/>
    <w:rsid w:val="001F6015"/>
    <w:rsid w:val="00201766"/>
    <w:rsid w:val="0020582C"/>
    <w:rsid w:val="002140F1"/>
    <w:rsid w:val="00222E02"/>
    <w:rsid w:val="00242F48"/>
    <w:rsid w:val="00246F9E"/>
    <w:rsid w:val="002742CC"/>
    <w:rsid w:val="00285B14"/>
    <w:rsid w:val="0028603C"/>
    <w:rsid w:val="002A5F23"/>
    <w:rsid w:val="002B181D"/>
    <w:rsid w:val="002D3850"/>
    <w:rsid w:val="002D4925"/>
    <w:rsid w:val="002E63F6"/>
    <w:rsid w:val="002F0DF7"/>
    <w:rsid w:val="00307FA2"/>
    <w:rsid w:val="0031228A"/>
    <w:rsid w:val="00322D02"/>
    <w:rsid w:val="003259F0"/>
    <w:rsid w:val="00327294"/>
    <w:rsid w:val="003303EE"/>
    <w:rsid w:val="00353FCA"/>
    <w:rsid w:val="003647BE"/>
    <w:rsid w:val="0036721F"/>
    <w:rsid w:val="0037650A"/>
    <w:rsid w:val="003954A4"/>
    <w:rsid w:val="003A37E0"/>
    <w:rsid w:val="003A3D9E"/>
    <w:rsid w:val="003A55A1"/>
    <w:rsid w:val="003A783C"/>
    <w:rsid w:val="003B39E5"/>
    <w:rsid w:val="003B4752"/>
    <w:rsid w:val="003C0B06"/>
    <w:rsid w:val="003C266E"/>
    <w:rsid w:val="003C4295"/>
    <w:rsid w:val="003C4703"/>
    <w:rsid w:val="003D4F8A"/>
    <w:rsid w:val="004075CF"/>
    <w:rsid w:val="004437A7"/>
    <w:rsid w:val="00453442"/>
    <w:rsid w:val="00455619"/>
    <w:rsid w:val="00455C2D"/>
    <w:rsid w:val="0045735E"/>
    <w:rsid w:val="0047119B"/>
    <w:rsid w:val="0047313A"/>
    <w:rsid w:val="00483A8D"/>
    <w:rsid w:val="004842D1"/>
    <w:rsid w:val="00486D58"/>
    <w:rsid w:val="00493283"/>
    <w:rsid w:val="004977CE"/>
    <w:rsid w:val="004B742E"/>
    <w:rsid w:val="004C5939"/>
    <w:rsid w:val="004E470F"/>
    <w:rsid w:val="004E66EB"/>
    <w:rsid w:val="004F536E"/>
    <w:rsid w:val="00500C5E"/>
    <w:rsid w:val="0050145C"/>
    <w:rsid w:val="00517B36"/>
    <w:rsid w:val="005534D5"/>
    <w:rsid w:val="00554185"/>
    <w:rsid w:val="00556667"/>
    <w:rsid w:val="005866D9"/>
    <w:rsid w:val="00587A5A"/>
    <w:rsid w:val="00592F23"/>
    <w:rsid w:val="0059320B"/>
    <w:rsid w:val="00596968"/>
    <w:rsid w:val="005A2050"/>
    <w:rsid w:val="005A41A6"/>
    <w:rsid w:val="005B5593"/>
    <w:rsid w:val="005D2764"/>
    <w:rsid w:val="005E2771"/>
    <w:rsid w:val="005E6989"/>
    <w:rsid w:val="006004D2"/>
    <w:rsid w:val="00616BCD"/>
    <w:rsid w:val="00625F78"/>
    <w:rsid w:val="00637AEF"/>
    <w:rsid w:val="0065743D"/>
    <w:rsid w:val="00676462"/>
    <w:rsid w:val="006C457D"/>
    <w:rsid w:val="006D3858"/>
    <w:rsid w:val="006E063A"/>
    <w:rsid w:val="006E2130"/>
    <w:rsid w:val="006F6FA8"/>
    <w:rsid w:val="00725FA1"/>
    <w:rsid w:val="0075138D"/>
    <w:rsid w:val="0075682A"/>
    <w:rsid w:val="00756F29"/>
    <w:rsid w:val="007659BC"/>
    <w:rsid w:val="0078373F"/>
    <w:rsid w:val="00795F0A"/>
    <w:rsid w:val="007A5B8D"/>
    <w:rsid w:val="007B1BCC"/>
    <w:rsid w:val="007B48BF"/>
    <w:rsid w:val="007C17FB"/>
    <w:rsid w:val="007D42F2"/>
    <w:rsid w:val="007D43D8"/>
    <w:rsid w:val="007D56FA"/>
    <w:rsid w:val="007F0C64"/>
    <w:rsid w:val="007F169E"/>
    <w:rsid w:val="007F4987"/>
    <w:rsid w:val="00800CC9"/>
    <w:rsid w:val="00803BDD"/>
    <w:rsid w:val="0080631F"/>
    <w:rsid w:val="008137F5"/>
    <w:rsid w:val="0081380D"/>
    <w:rsid w:val="008227B2"/>
    <w:rsid w:val="008273AC"/>
    <w:rsid w:val="008334B0"/>
    <w:rsid w:val="00835D04"/>
    <w:rsid w:val="00837896"/>
    <w:rsid w:val="0085131D"/>
    <w:rsid w:val="0085584C"/>
    <w:rsid w:val="0086223B"/>
    <w:rsid w:val="0087276A"/>
    <w:rsid w:val="00881F6A"/>
    <w:rsid w:val="0088348F"/>
    <w:rsid w:val="008C0BE1"/>
    <w:rsid w:val="008C642E"/>
    <w:rsid w:val="008E5E1A"/>
    <w:rsid w:val="008F6CF3"/>
    <w:rsid w:val="00900CF8"/>
    <w:rsid w:val="009126CF"/>
    <w:rsid w:val="00945EF1"/>
    <w:rsid w:val="009567C7"/>
    <w:rsid w:val="009663F4"/>
    <w:rsid w:val="0096797E"/>
    <w:rsid w:val="00973669"/>
    <w:rsid w:val="00976FB6"/>
    <w:rsid w:val="00977DC9"/>
    <w:rsid w:val="009870CD"/>
    <w:rsid w:val="009B084F"/>
    <w:rsid w:val="009B5B33"/>
    <w:rsid w:val="009C5937"/>
    <w:rsid w:val="009C5BF5"/>
    <w:rsid w:val="009D11F1"/>
    <w:rsid w:val="009F3086"/>
    <w:rsid w:val="009F3397"/>
    <w:rsid w:val="009F7E84"/>
    <w:rsid w:val="00A03B43"/>
    <w:rsid w:val="00A40E9B"/>
    <w:rsid w:val="00A41E2D"/>
    <w:rsid w:val="00A421AC"/>
    <w:rsid w:val="00A556FB"/>
    <w:rsid w:val="00A6266B"/>
    <w:rsid w:val="00A64A0F"/>
    <w:rsid w:val="00A71990"/>
    <w:rsid w:val="00A8452A"/>
    <w:rsid w:val="00A857BD"/>
    <w:rsid w:val="00A86FE7"/>
    <w:rsid w:val="00AA096D"/>
    <w:rsid w:val="00AB7D0B"/>
    <w:rsid w:val="00AC7F20"/>
    <w:rsid w:val="00AD131A"/>
    <w:rsid w:val="00AE09DF"/>
    <w:rsid w:val="00AF3898"/>
    <w:rsid w:val="00AF7132"/>
    <w:rsid w:val="00B07A3B"/>
    <w:rsid w:val="00B110FD"/>
    <w:rsid w:val="00B126A7"/>
    <w:rsid w:val="00B204D9"/>
    <w:rsid w:val="00B20940"/>
    <w:rsid w:val="00B256A3"/>
    <w:rsid w:val="00B2730A"/>
    <w:rsid w:val="00B35B4A"/>
    <w:rsid w:val="00B618DA"/>
    <w:rsid w:val="00B64AEB"/>
    <w:rsid w:val="00B71F97"/>
    <w:rsid w:val="00B7387B"/>
    <w:rsid w:val="00B75B08"/>
    <w:rsid w:val="00B768B1"/>
    <w:rsid w:val="00B80398"/>
    <w:rsid w:val="00B849BB"/>
    <w:rsid w:val="00BB37FE"/>
    <w:rsid w:val="00BC42A7"/>
    <w:rsid w:val="00BE0F67"/>
    <w:rsid w:val="00C00DCA"/>
    <w:rsid w:val="00C05301"/>
    <w:rsid w:val="00C40563"/>
    <w:rsid w:val="00C54522"/>
    <w:rsid w:val="00C67008"/>
    <w:rsid w:val="00C81AD7"/>
    <w:rsid w:val="00C85F7C"/>
    <w:rsid w:val="00CA2C32"/>
    <w:rsid w:val="00CA414B"/>
    <w:rsid w:val="00CB206B"/>
    <w:rsid w:val="00CB545D"/>
    <w:rsid w:val="00CC5038"/>
    <w:rsid w:val="00CF45A1"/>
    <w:rsid w:val="00D137C6"/>
    <w:rsid w:val="00D15D9D"/>
    <w:rsid w:val="00D256BF"/>
    <w:rsid w:val="00D27ABF"/>
    <w:rsid w:val="00D36153"/>
    <w:rsid w:val="00D374D6"/>
    <w:rsid w:val="00D44F9A"/>
    <w:rsid w:val="00D46E7B"/>
    <w:rsid w:val="00D47DAF"/>
    <w:rsid w:val="00D65057"/>
    <w:rsid w:val="00D738AE"/>
    <w:rsid w:val="00D73C53"/>
    <w:rsid w:val="00D75E5C"/>
    <w:rsid w:val="00D8146A"/>
    <w:rsid w:val="00D90C06"/>
    <w:rsid w:val="00DB2F54"/>
    <w:rsid w:val="00DB51D6"/>
    <w:rsid w:val="00DB7DD0"/>
    <w:rsid w:val="00DC03D4"/>
    <w:rsid w:val="00DD0AD4"/>
    <w:rsid w:val="00DE1965"/>
    <w:rsid w:val="00E044D2"/>
    <w:rsid w:val="00E04576"/>
    <w:rsid w:val="00E05F3A"/>
    <w:rsid w:val="00E37CD4"/>
    <w:rsid w:val="00E535C1"/>
    <w:rsid w:val="00E56944"/>
    <w:rsid w:val="00E56FFC"/>
    <w:rsid w:val="00E6647D"/>
    <w:rsid w:val="00E67E9C"/>
    <w:rsid w:val="00E7231E"/>
    <w:rsid w:val="00E7379A"/>
    <w:rsid w:val="00E75913"/>
    <w:rsid w:val="00EA77E8"/>
    <w:rsid w:val="00EE4BC0"/>
    <w:rsid w:val="00EE4FAA"/>
    <w:rsid w:val="00EE6CA1"/>
    <w:rsid w:val="00EF0EB6"/>
    <w:rsid w:val="00EF5B7F"/>
    <w:rsid w:val="00F17444"/>
    <w:rsid w:val="00F2370F"/>
    <w:rsid w:val="00F31CA6"/>
    <w:rsid w:val="00F34D9D"/>
    <w:rsid w:val="00F4502A"/>
    <w:rsid w:val="00F54BB5"/>
    <w:rsid w:val="00F81FCE"/>
    <w:rsid w:val="00F872D6"/>
    <w:rsid w:val="00F9465B"/>
    <w:rsid w:val="00FC22C2"/>
    <w:rsid w:val="00FC3B18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143ED"/>
  <w15:docId w15:val="{D7C0BED3-8308-4C6E-BC38-D8C69B9F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44"/>
  </w:style>
  <w:style w:type="paragraph" w:styleId="Footer">
    <w:name w:val="footer"/>
    <w:basedOn w:val="Normal"/>
    <w:link w:val="FooterChar"/>
    <w:uiPriority w:val="99"/>
    <w:unhideWhenUsed/>
    <w:rsid w:val="00E5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44"/>
  </w:style>
  <w:style w:type="character" w:styleId="Hyperlink">
    <w:name w:val="Hyperlink"/>
    <w:basedOn w:val="DefaultParagraphFont"/>
    <w:uiPriority w:val="99"/>
    <w:unhideWhenUsed/>
    <w:rsid w:val="00E569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7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2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977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84289108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608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7336187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8673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35476838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35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53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84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201557238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9906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37057405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8829-FB98-4C99-959E-DEAAD546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Department of Education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D'Souza Melvin</dc:creator>
  <cp:lastModifiedBy>Shannon Johnson</cp:lastModifiedBy>
  <cp:revision>2</cp:revision>
  <cp:lastPrinted>2016-08-25T12:56:00Z</cp:lastPrinted>
  <dcterms:created xsi:type="dcterms:W3CDTF">2018-07-30T17:04:00Z</dcterms:created>
  <dcterms:modified xsi:type="dcterms:W3CDTF">2018-07-30T17:04:00Z</dcterms:modified>
</cp:coreProperties>
</file>