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51A2" w14:textId="296E3981" w:rsidR="00A226F6" w:rsidRPr="00C44289" w:rsidRDefault="00A226F6">
      <w:pPr>
        <w:rPr>
          <w:rFonts w:cstheme="minorHAnsi"/>
          <w:b/>
          <w:bCs/>
          <w:sz w:val="24"/>
          <w:szCs w:val="24"/>
        </w:rPr>
      </w:pPr>
    </w:p>
    <w:p w14:paraId="1482AA8F" w14:textId="1F8C4CF4" w:rsidR="00551AE1" w:rsidRDefault="00551AE1">
      <w:pPr>
        <w:rPr>
          <w:rFonts w:cstheme="minorHAnsi"/>
          <w:b/>
          <w:bCs/>
          <w:color w:val="004077"/>
          <w:sz w:val="24"/>
          <w:szCs w:val="24"/>
        </w:rPr>
      </w:pPr>
      <w:r>
        <w:rPr>
          <w:rFonts w:cstheme="minorHAnsi"/>
          <w:b/>
          <w:bCs/>
          <w:color w:val="004077"/>
          <w:sz w:val="24"/>
          <w:szCs w:val="24"/>
        </w:rPr>
        <w:t>April 22, 2021</w:t>
      </w:r>
    </w:p>
    <w:p w14:paraId="0CEE48C5" w14:textId="66DF02FE" w:rsidR="008A7F79" w:rsidRPr="00C44289" w:rsidRDefault="008A7F79">
      <w:pPr>
        <w:rPr>
          <w:rFonts w:cstheme="minorHAnsi"/>
          <w:b/>
          <w:bCs/>
          <w:color w:val="004077"/>
          <w:sz w:val="24"/>
          <w:szCs w:val="24"/>
        </w:rPr>
      </w:pPr>
      <w:r w:rsidRPr="00C44289">
        <w:rPr>
          <w:rFonts w:cstheme="minorHAnsi"/>
          <w:b/>
          <w:bCs/>
          <w:color w:val="004077"/>
          <w:sz w:val="24"/>
          <w:szCs w:val="24"/>
        </w:rPr>
        <w:t>Request</w:t>
      </w:r>
    </w:p>
    <w:p w14:paraId="3D3DDB66" w14:textId="4949184A" w:rsidR="00071934" w:rsidRPr="00C44289" w:rsidRDefault="009B6F86" w:rsidP="009B6F86">
      <w:pPr>
        <w:rPr>
          <w:rFonts w:cstheme="minorHAnsi"/>
          <w:sz w:val="24"/>
          <w:szCs w:val="24"/>
        </w:rPr>
      </w:pPr>
      <w:r w:rsidRPr="00C44289">
        <w:rPr>
          <w:rFonts w:cstheme="minorHAnsi"/>
          <w:i/>
          <w:iCs/>
          <w:sz w:val="24"/>
          <w:szCs w:val="24"/>
        </w:rPr>
        <w:t>The Indianapolis New Skills ready network project team is looking for information regarding a statewide qualifications framework for modern youth apprenticeship, including reviewing progress on prior learning assessments (PLA) or awarding credit for prior learning (CPL) for work completed on the job.</w:t>
      </w:r>
    </w:p>
    <w:p w14:paraId="6EC5D31B" w14:textId="13C787DE" w:rsidR="00244E67" w:rsidRPr="00C44289" w:rsidRDefault="00871313" w:rsidP="00A705C0">
      <w:pPr>
        <w:rPr>
          <w:rFonts w:cstheme="minorHAnsi"/>
          <w:b/>
          <w:bCs/>
          <w:color w:val="004077"/>
          <w:sz w:val="24"/>
          <w:szCs w:val="24"/>
        </w:rPr>
      </w:pPr>
      <w:r w:rsidRPr="00C44289">
        <w:rPr>
          <w:rFonts w:cstheme="minorHAnsi"/>
          <w:b/>
          <w:bCs/>
          <w:color w:val="004077"/>
          <w:sz w:val="24"/>
          <w:szCs w:val="24"/>
        </w:rPr>
        <w:t>Barriers</w:t>
      </w:r>
    </w:p>
    <w:p w14:paraId="68B3FC87" w14:textId="665806C1" w:rsidR="00D928E7" w:rsidRPr="00C44289" w:rsidRDefault="00D928E7" w:rsidP="00D928E7">
      <w:pPr>
        <w:pStyle w:val="ListParagraph"/>
        <w:numPr>
          <w:ilvl w:val="0"/>
          <w:numId w:val="17"/>
        </w:numPr>
        <w:rPr>
          <w:rFonts w:cstheme="minorHAnsi"/>
          <w:b/>
          <w:bCs/>
          <w:color w:val="004077"/>
          <w:sz w:val="24"/>
          <w:szCs w:val="24"/>
        </w:rPr>
      </w:pPr>
      <w:r w:rsidRPr="00C44289">
        <w:rPr>
          <w:rFonts w:cstheme="minorHAnsi"/>
          <w:sz w:val="24"/>
          <w:szCs w:val="24"/>
        </w:rPr>
        <w:t>Lack of awareness around process and terminology for both learners and practitioners</w:t>
      </w:r>
      <w:r w:rsidR="00D45269" w:rsidRPr="00C44289">
        <w:rPr>
          <w:rFonts w:cstheme="minorHAnsi"/>
          <w:sz w:val="24"/>
          <w:szCs w:val="24"/>
        </w:rPr>
        <w:t xml:space="preserve"> leads to a lack of support for CPL</w:t>
      </w:r>
    </w:p>
    <w:p w14:paraId="5A080FAD" w14:textId="7F2FA13B" w:rsidR="00627B95" w:rsidRPr="00C44289" w:rsidRDefault="00627B95" w:rsidP="00D928E7">
      <w:pPr>
        <w:pStyle w:val="ListParagraph"/>
        <w:numPr>
          <w:ilvl w:val="0"/>
          <w:numId w:val="17"/>
        </w:numPr>
        <w:rPr>
          <w:rFonts w:cstheme="minorHAnsi"/>
          <w:b/>
          <w:bCs/>
          <w:color w:val="004077"/>
          <w:sz w:val="24"/>
          <w:szCs w:val="24"/>
        </w:rPr>
      </w:pPr>
      <w:r w:rsidRPr="00C44289">
        <w:rPr>
          <w:rFonts w:cstheme="minorHAnsi"/>
          <w:sz w:val="24"/>
          <w:szCs w:val="24"/>
        </w:rPr>
        <w:t xml:space="preserve">Lack of transparency around PLA policies </w:t>
      </w:r>
      <w:r w:rsidR="0077461D" w:rsidRPr="00C44289">
        <w:rPr>
          <w:rFonts w:cstheme="minorHAnsi"/>
          <w:sz w:val="24"/>
          <w:szCs w:val="24"/>
        </w:rPr>
        <w:t>contributes to a lack of participation in programs that utilize PLAs for credit</w:t>
      </w:r>
    </w:p>
    <w:p w14:paraId="7460FCBD" w14:textId="5AA31ACD" w:rsidR="00D45269" w:rsidRPr="00C44289" w:rsidRDefault="00D45269" w:rsidP="00D928E7">
      <w:pPr>
        <w:pStyle w:val="ListParagraph"/>
        <w:numPr>
          <w:ilvl w:val="0"/>
          <w:numId w:val="17"/>
        </w:numPr>
        <w:rPr>
          <w:rFonts w:cstheme="minorHAnsi"/>
          <w:b/>
          <w:bCs/>
          <w:color w:val="004077"/>
          <w:sz w:val="24"/>
          <w:szCs w:val="24"/>
        </w:rPr>
      </w:pPr>
      <w:r w:rsidRPr="00C44289">
        <w:rPr>
          <w:rFonts w:cstheme="minorHAnsi"/>
          <w:sz w:val="24"/>
          <w:szCs w:val="24"/>
        </w:rPr>
        <w:t>Concerns about rigor of the prior learning</w:t>
      </w:r>
    </w:p>
    <w:p w14:paraId="3E480B21" w14:textId="17D567E4" w:rsidR="00D45269" w:rsidRPr="00C44289" w:rsidRDefault="00D45269" w:rsidP="00D928E7">
      <w:pPr>
        <w:pStyle w:val="ListParagraph"/>
        <w:numPr>
          <w:ilvl w:val="0"/>
          <w:numId w:val="17"/>
        </w:numPr>
        <w:rPr>
          <w:rFonts w:cstheme="minorHAnsi"/>
          <w:b/>
          <w:bCs/>
          <w:color w:val="004077"/>
          <w:sz w:val="24"/>
          <w:szCs w:val="24"/>
        </w:rPr>
      </w:pPr>
      <w:r w:rsidRPr="00C44289">
        <w:rPr>
          <w:rFonts w:cstheme="minorHAnsi"/>
          <w:sz w:val="24"/>
          <w:szCs w:val="24"/>
        </w:rPr>
        <w:t>Inadequate training at the postsecondary level to support CPL</w:t>
      </w:r>
    </w:p>
    <w:p w14:paraId="70FF536B" w14:textId="01E75A52" w:rsidR="00D45269" w:rsidRPr="00C44289" w:rsidRDefault="00D45269" w:rsidP="00D928E7">
      <w:pPr>
        <w:pStyle w:val="ListParagraph"/>
        <w:numPr>
          <w:ilvl w:val="0"/>
          <w:numId w:val="17"/>
        </w:numPr>
        <w:rPr>
          <w:rFonts w:cstheme="minorHAnsi"/>
          <w:b/>
          <w:bCs/>
          <w:color w:val="004077"/>
          <w:sz w:val="24"/>
          <w:szCs w:val="24"/>
        </w:rPr>
      </w:pPr>
      <w:r w:rsidRPr="00C44289">
        <w:rPr>
          <w:rFonts w:cstheme="minorHAnsi"/>
          <w:sz w:val="24"/>
          <w:szCs w:val="24"/>
        </w:rPr>
        <w:t>Limited or no institutional</w:t>
      </w:r>
      <w:r w:rsidR="00467C8E">
        <w:rPr>
          <w:rFonts w:cstheme="minorHAnsi"/>
          <w:sz w:val="24"/>
          <w:szCs w:val="24"/>
        </w:rPr>
        <w:t xml:space="preserve"> (or faculty-level)</w:t>
      </w:r>
      <w:r w:rsidRPr="00C44289">
        <w:rPr>
          <w:rFonts w:cstheme="minorHAnsi"/>
          <w:sz w:val="24"/>
          <w:szCs w:val="24"/>
        </w:rPr>
        <w:t xml:space="preserve"> incentives to support CPL</w:t>
      </w:r>
    </w:p>
    <w:p w14:paraId="5397561A" w14:textId="643752F1" w:rsidR="0077461D" w:rsidRPr="00C44289" w:rsidRDefault="0077461D" w:rsidP="00D928E7">
      <w:pPr>
        <w:pStyle w:val="ListParagraph"/>
        <w:numPr>
          <w:ilvl w:val="0"/>
          <w:numId w:val="17"/>
        </w:numPr>
        <w:rPr>
          <w:rFonts w:cstheme="minorHAnsi"/>
          <w:b/>
          <w:bCs/>
          <w:color w:val="004077"/>
          <w:sz w:val="24"/>
          <w:szCs w:val="24"/>
        </w:rPr>
      </w:pPr>
      <w:r w:rsidRPr="00C44289">
        <w:rPr>
          <w:rFonts w:cstheme="minorHAnsi"/>
          <w:sz w:val="24"/>
          <w:szCs w:val="24"/>
        </w:rPr>
        <w:t>Cost of assessing prior learning to institutions and to students creates barriers for expansion of PLA/CPL policies</w:t>
      </w:r>
    </w:p>
    <w:p w14:paraId="3975D64C" w14:textId="77777777" w:rsidR="0077461D" w:rsidRPr="00C44289" w:rsidRDefault="0077461D" w:rsidP="00551AE1">
      <w:pPr>
        <w:pStyle w:val="ListParagraph"/>
        <w:rPr>
          <w:rFonts w:cstheme="minorHAnsi"/>
          <w:b/>
          <w:bCs/>
          <w:color w:val="004077"/>
          <w:sz w:val="24"/>
          <w:szCs w:val="24"/>
        </w:rPr>
      </w:pPr>
    </w:p>
    <w:p w14:paraId="5916E79F" w14:textId="6B116693" w:rsidR="00F64369" w:rsidRPr="00C44289" w:rsidRDefault="00F64369">
      <w:pPr>
        <w:rPr>
          <w:rFonts w:cstheme="minorHAnsi"/>
          <w:b/>
          <w:bCs/>
          <w:color w:val="004077"/>
          <w:sz w:val="24"/>
          <w:szCs w:val="24"/>
        </w:rPr>
      </w:pPr>
      <w:r w:rsidRPr="00C44289">
        <w:rPr>
          <w:rFonts w:cstheme="minorHAnsi"/>
          <w:b/>
          <w:bCs/>
          <w:color w:val="004077"/>
          <w:sz w:val="24"/>
          <w:szCs w:val="24"/>
        </w:rPr>
        <w:t>Proposed strategies</w:t>
      </w:r>
    </w:p>
    <w:p w14:paraId="1599056C" w14:textId="2676A1F9" w:rsidR="00D45269" w:rsidRPr="00C44289" w:rsidRDefault="00D45269" w:rsidP="00D45269">
      <w:pPr>
        <w:pStyle w:val="ListParagraph"/>
        <w:numPr>
          <w:ilvl w:val="0"/>
          <w:numId w:val="18"/>
        </w:numPr>
        <w:rPr>
          <w:rFonts w:cstheme="minorHAnsi"/>
          <w:color w:val="004077"/>
          <w:sz w:val="24"/>
          <w:szCs w:val="24"/>
        </w:rPr>
      </w:pPr>
      <w:r w:rsidRPr="00C44289">
        <w:rPr>
          <w:rFonts w:cstheme="minorHAnsi"/>
          <w:sz w:val="24"/>
          <w:szCs w:val="24"/>
        </w:rPr>
        <w:t>Build a knowledge base at each institution about what credit for prior learning is, how it connects to work-based learning or pre-apprenticeship opportunities, and how learners can take advantage of it</w:t>
      </w:r>
    </w:p>
    <w:p w14:paraId="303095EA" w14:textId="24584DF9" w:rsidR="00D45269" w:rsidRPr="00C44289" w:rsidRDefault="00D45269" w:rsidP="00D45269">
      <w:pPr>
        <w:pStyle w:val="ListParagraph"/>
        <w:numPr>
          <w:ilvl w:val="0"/>
          <w:numId w:val="18"/>
        </w:numPr>
        <w:rPr>
          <w:rFonts w:cstheme="minorHAnsi"/>
          <w:color w:val="004077"/>
          <w:sz w:val="24"/>
          <w:szCs w:val="24"/>
        </w:rPr>
      </w:pPr>
      <w:r w:rsidRPr="00C44289">
        <w:rPr>
          <w:rFonts w:cstheme="minorHAnsi"/>
          <w:sz w:val="24"/>
          <w:szCs w:val="24"/>
        </w:rPr>
        <w:t>Articulate the value of CPL for both learners and higher education institutions</w:t>
      </w:r>
    </w:p>
    <w:p w14:paraId="6AB4052C" w14:textId="180F95FA" w:rsidR="00D45269" w:rsidRPr="00C44289" w:rsidRDefault="00D45269" w:rsidP="00D45269">
      <w:pPr>
        <w:pStyle w:val="ListParagraph"/>
        <w:numPr>
          <w:ilvl w:val="0"/>
          <w:numId w:val="18"/>
        </w:numPr>
        <w:rPr>
          <w:rFonts w:cstheme="minorHAnsi"/>
          <w:color w:val="004077"/>
          <w:sz w:val="24"/>
          <w:szCs w:val="24"/>
        </w:rPr>
      </w:pPr>
      <w:r w:rsidRPr="00C44289">
        <w:rPr>
          <w:rFonts w:cstheme="minorHAnsi"/>
          <w:sz w:val="24"/>
          <w:szCs w:val="24"/>
        </w:rPr>
        <w:t>Compensate faculty for reviewing portfolios or other PLAs to award credit</w:t>
      </w:r>
    </w:p>
    <w:p w14:paraId="28F95FFA" w14:textId="78AAE6EA" w:rsidR="006F41FC" w:rsidRPr="00C44289" w:rsidRDefault="006F41FC" w:rsidP="00D45269">
      <w:pPr>
        <w:pStyle w:val="ListParagraph"/>
        <w:numPr>
          <w:ilvl w:val="0"/>
          <w:numId w:val="18"/>
        </w:numPr>
        <w:rPr>
          <w:rFonts w:cstheme="minorHAnsi"/>
          <w:color w:val="004077"/>
          <w:sz w:val="24"/>
          <w:szCs w:val="24"/>
        </w:rPr>
      </w:pPr>
      <w:r w:rsidRPr="00C44289">
        <w:rPr>
          <w:rFonts w:cstheme="minorHAnsi"/>
          <w:sz w:val="24"/>
          <w:szCs w:val="24"/>
        </w:rPr>
        <w:t>Arrange tours of training or educational facilities to showcase the rigor of the prior learning</w:t>
      </w:r>
    </w:p>
    <w:p w14:paraId="4F699FE2" w14:textId="7808417E" w:rsidR="0077461D" w:rsidRPr="00C44289" w:rsidRDefault="0077461D" w:rsidP="00D45269">
      <w:pPr>
        <w:pStyle w:val="ListParagraph"/>
        <w:numPr>
          <w:ilvl w:val="0"/>
          <w:numId w:val="18"/>
        </w:numPr>
        <w:rPr>
          <w:rFonts w:cstheme="minorHAnsi"/>
          <w:color w:val="004077"/>
          <w:sz w:val="24"/>
          <w:szCs w:val="24"/>
        </w:rPr>
      </w:pPr>
      <w:r w:rsidRPr="00C44289">
        <w:rPr>
          <w:rFonts w:cstheme="minorHAnsi"/>
          <w:sz w:val="24"/>
          <w:szCs w:val="24"/>
        </w:rPr>
        <w:t>Make campus policies around CPL clear and transparent to both staff and learners</w:t>
      </w:r>
    </w:p>
    <w:p w14:paraId="6FC57A1A" w14:textId="48FA36B2" w:rsidR="0077461D" w:rsidRPr="00C44289" w:rsidRDefault="0077461D" w:rsidP="00D45269">
      <w:pPr>
        <w:pStyle w:val="ListParagraph"/>
        <w:numPr>
          <w:ilvl w:val="0"/>
          <w:numId w:val="18"/>
        </w:numPr>
        <w:rPr>
          <w:rFonts w:cstheme="minorHAnsi"/>
          <w:color w:val="004077"/>
          <w:sz w:val="24"/>
          <w:szCs w:val="24"/>
        </w:rPr>
      </w:pPr>
      <w:r w:rsidRPr="00C44289">
        <w:rPr>
          <w:rFonts w:cstheme="minorHAnsi"/>
          <w:sz w:val="24"/>
          <w:szCs w:val="24"/>
        </w:rPr>
        <w:t xml:space="preserve">Consider allowing PLA costs to be covered by </w:t>
      </w:r>
      <w:r w:rsidR="00467C8E">
        <w:rPr>
          <w:rFonts w:cstheme="minorHAnsi"/>
          <w:sz w:val="24"/>
          <w:szCs w:val="24"/>
        </w:rPr>
        <w:t xml:space="preserve">financial </w:t>
      </w:r>
      <w:r w:rsidRPr="00C44289">
        <w:rPr>
          <w:rFonts w:cstheme="minorHAnsi"/>
          <w:sz w:val="24"/>
          <w:szCs w:val="24"/>
        </w:rPr>
        <w:t>aid</w:t>
      </w:r>
      <w:r w:rsidR="00467C8E">
        <w:rPr>
          <w:rFonts w:cstheme="minorHAnsi"/>
          <w:sz w:val="24"/>
          <w:szCs w:val="24"/>
        </w:rPr>
        <w:t xml:space="preserve"> or WIOA dollars</w:t>
      </w:r>
      <w:r w:rsidRPr="00C44289">
        <w:rPr>
          <w:rFonts w:cstheme="minorHAnsi"/>
          <w:sz w:val="24"/>
          <w:szCs w:val="24"/>
        </w:rPr>
        <w:t xml:space="preserve"> to eliminate cost barriers</w:t>
      </w:r>
    </w:p>
    <w:p w14:paraId="0D8550FB" w14:textId="51862AA8" w:rsidR="0077461D" w:rsidRPr="004550E8" w:rsidRDefault="0077461D" w:rsidP="00D45269">
      <w:pPr>
        <w:pStyle w:val="ListParagraph"/>
        <w:numPr>
          <w:ilvl w:val="0"/>
          <w:numId w:val="18"/>
        </w:numPr>
        <w:rPr>
          <w:rFonts w:cstheme="minorHAnsi"/>
          <w:color w:val="004077"/>
          <w:sz w:val="24"/>
          <w:szCs w:val="24"/>
        </w:rPr>
      </w:pPr>
      <w:r w:rsidRPr="00C44289">
        <w:rPr>
          <w:rFonts w:cstheme="minorHAnsi"/>
          <w:sz w:val="24"/>
          <w:szCs w:val="24"/>
        </w:rPr>
        <w:t xml:space="preserve">Review existing PLA policies for issues related to equity, including </w:t>
      </w:r>
      <w:r w:rsidR="00057A05">
        <w:rPr>
          <w:rFonts w:cstheme="minorHAnsi"/>
          <w:sz w:val="24"/>
          <w:szCs w:val="24"/>
        </w:rPr>
        <w:t>ensuring policy language is inclusive and implementation does not create unintended inequities</w:t>
      </w:r>
    </w:p>
    <w:p w14:paraId="0923B6A0" w14:textId="43AFE97E" w:rsidR="004550E8" w:rsidRPr="002378E1" w:rsidRDefault="004550E8" w:rsidP="00D45269">
      <w:pPr>
        <w:pStyle w:val="ListParagraph"/>
        <w:numPr>
          <w:ilvl w:val="0"/>
          <w:numId w:val="18"/>
        </w:numPr>
        <w:rPr>
          <w:rFonts w:cstheme="minorHAnsi"/>
          <w:color w:val="004077"/>
          <w:sz w:val="24"/>
          <w:szCs w:val="24"/>
        </w:rPr>
      </w:pPr>
      <w:r>
        <w:rPr>
          <w:rFonts w:cstheme="minorHAnsi"/>
          <w:sz w:val="24"/>
          <w:szCs w:val="24"/>
        </w:rPr>
        <w:t>Higher education institutions should develo</w:t>
      </w:r>
      <w:r w:rsidR="00057A05">
        <w:rPr>
          <w:rFonts w:cstheme="minorHAnsi"/>
          <w:sz w:val="24"/>
          <w:szCs w:val="24"/>
        </w:rPr>
        <w:t xml:space="preserve">p career pathways or programs of study </w:t>
      </w:r>
      <w:r>
        <w:rPr>
          <w:rFonts w:cstheme="minorHAnsi"/>
          <w:sz w:val="24"/>
          <w:szCs w:val="24"/>
        </w:rPr>
        <w:t>in conjunction with partner</w:t>
      </w:r>
      <w:r w:rsidR="00057A05">
        <w:rPr>
          <w:rFonts w:cstheme="minorHAnsi"/>
          <w:sz w:val="24"/>
          <w:szCs w:val="24"/>
        </w:rPr>
        <w:t>ed</w:t>
      </w:r>
      <w:r>
        <w:rPr>
          <w:rFonts w:cstheme="minorHAnsi"/>
          <w:sz w:val="24"/>
          <w:szCs w:val="24"/>
        </w:rPr>
        <w:t xml:space="preserve"> secondary or other postsecondary institutions with CPL in mind</w:t>
      </w:r>
    </w:p>
    <w:p w14:paraId="77A48C77" w14:textId="13CE64AB" w:rsidR="007964C2" w:rsidRPr="00E03891" w:rsidRDefault="002378E1" w:rsidP="005202FE">
      <w:pPr>
        <w:pStyle w:val="ListParagraph"/>
        <w:numPr>
          <w:ilvl w:val="0"/>
          <w:numId w:val="18"/>
        </w:numPr>
        <w:rPr>
          <w:rFonts w:cstheme="minorHAnsi"/>
          <w:color w:val="004077"/>
          <w:sz w:val="24"/>
          <w:szCs w:val="24"/>
        </w:rPr>
      </w:pPr>
      <w:r>
        <w:rPr>
          <w:rFonts w:cstheme="minorHAnsi"/>
          <w:sz w:val="24"/>
          <w:szCs w:val="24"/>
        </w:rPr>
        <w:t xml:space="preserve">Develop a framework through which quality and rigor of work-based learning programs </w:t>
      </w:r>
      <w:r w:rsidR="00467C8E">
        <w:rPr>
          <w:rFonts w:cstheme="minorHAnsi"/>
          <w:sz w:val="24"/>
          <w:szCs w:val="24"/>
        </w:rPr>
        <w:t xml:space="preserve">and industry-recognized credentials </w:t>
      </w:r>
      <w:r>
        <w:rPr>
          <w:rFonts w:cstheme="minorHAnsi"/>
          <w:sz w:val="24"/>
          <w:szCs w:val="24"/>
        </w:rPr>
        <w:t>can be quantified for use in CPL policies</w:t>
      </w:r>
    </w:p>
    <w:p w14:paraId="517B3D79" w14:textId="286599D9" w:rsidR="009B6F86" w:rsidRPr="00C44289" w:rsidRDefault="009B6F86" w:rsidP="005202FE">
      <w:pPr>
        <w:rPr>
          <w:rFonts w:cstheme="minorHAnsi"/>
          <w:b/>
          <w:bCs/>
          <w:color w:val="004077"/>
          <w:sz w:val="24"/>
          <w:szCs w:val="24"/>
          <w:u w:val="single"/>
        </w:rPr>
      </w:pPr>
      <w:r w:rsidRPr="00C44289">
        <w:rPr>
          <w:rFonts w:cstheme="minorHAnsi"/>
          <w:b/>
          <w:bCs/>
          <w:color w:val="004077"/>
          <w:sz w:val="24"/>
          <w:szCs w:val="24"/>
          <w:u w:val="single"/>
        </w:rPr>
        <w:lastRenderedPageBreak/>
        <w:t>Credit for Prior Learning for Work-Based Learning</w:t>
      </w:r>
    </w:p>
    <w:p w14:paraId="40DEE10C" w14:textId="57517E50" w:rsidR="007964C2" w:rsidRPr="00C44289" w:rsidRDefault="007964C2" w:rsidP="005202FE">
      <w:pPr>
        <w:rPr>
          <w:rFonts w:cstheme="minorHAnsi"/>
          <w:color w:val="004077"/>
          <w:sz w:val="24"/>
          <w:szCs w:val="24"/>
        </w:rPr>
      </w:pPr>
      <w:r w:rsidRPr="00C44289">
        <w:rPr>
          <w:rFonts w:cstheme="minorHAnsi"/>
          <w:b/>
          <w:bCs/>
          <w:color w:val="004077"/>
          <w:sz w:val="24"/>
          <w:szCs w:val="24"/>
        </w:rPr>
        <w:t>Advance CTE</w:t>
      </w:r>
    </w:p>
    <w:p w14:paraId="6C67A5AA" w14:textId="2D66F0F9" w:rsidR="007964C2" w:rsidRPr="00C44289" w:rsidRDefault="00A11098" w:rsidP="005202FE">
      <w:pPr>
        <w:rPr>
          <w:rFonts w:cstheme="minorHAnsi"/>
          <w:sz w:val="24"/>
          <w:szCs w:val="24"/>
        </w:rPr>
      </w:pPr>
      <w:r w:rsidRPr="00C44289">
        <w:rPr>
          <w:rFonts w:cstheme="minorHAnsi"/>
          <w:sz w:val="24"/>
          <w:szCs w:val="24"/>
        </w:rPr>
        <w:t xml:space="preserve">This report, developed in 2019 with support from the Joyce Foundation, outlines </w:t>
      </w:r>
      <w:r w:rsidR="006C0D7B" w:rsidRPr="00C44289">
        <w:rPr>
          <w:rFonts w:cstheme="minorHAnsi"/>
          <w:sz w:val="24"/>
          <w:szCs w:val="24"/>
        </w:rPr>
        <w:t xml:space="preserve">the value of CPL, different policy levers, and the roles of different stakeholders in supporting CPL policy. </w:t>
      </w:r>
      <w:r w:rsidR="00D928E7" w:rsidRPr="00C44289">
        <w:rPr>
          <w:rFonts w:cstheme="minorHAnsi"/>
          <w:sz w:val="24"/>
          <w:szCs w:val="24"/>
        </w:rPr>
        <w:t xml:space="preserve">Specific sections highlight crosswalking registered apprenticeship with academic credit and aligning industry-recognized credentials with academic credit. </w:t>
      </w:r>
      <w:r w:rsidR="00325306">
        <w:rPr>
          <w:rFonts w:cstheme="minorHAnsi"/>
          <w:sz w:val="24"/>
          <w:szCs w:val="24"/>
        </w:rPr>
        <w:t>Ex</w:t>
      </w:r>
      <w:r w:rsidR="006C0D7B" w:rsidRPr="00C44289">
        <w:rPr>
          <w:rFonts w:cstheme="minorHAnsi"/>
          <w:sz w:val="24"/>
          <w:szCs w:val="24"/>
        </w:rPr>
        <w:t>amples</w:t>
      </w:r>
      <w:r w:rsidR="00057A05">
        <w:rPr>
          <w:rFonts w:cstheme="minorHAnsi"/>
          <w:sz w:val="24"/>
          <w:szCs w:val="24"/>
        </w:rPr>
        <w:t xml:space="preserve"> from Louisiana, Minnesota, Kansas and Virginia</w:t>
      </w:r>
      <w:r w:rsidR="006C0D7B" w:rsidRPr="00C44289">
        <w:rPr>
          <w:rFonts w:cstheme="minorHAnsi"/>
          <w:sz w:val="24"/>
          <w:szCs w:val="24"/>
        </w:rPr>
        <w:t xml:space="preserve"> are integrated throughout to illustrate specific</w:t>
      </w:r>
      <w:r w:rsidR="00057A05">
        <w:rPr>
          <w:rFonts w:cstheme="minorHAnsi"/>
          <w:sz w:val="24"/>
          <w:szCs w:val="24"/>
        </w:rPr>
        <w:t xml:space="preserve"> highlights</w:t>
      </w:r>
      <w:r w:rsidR="00325306">
        <w:rPr>
          <w:rFonts w:cstheme="minorHAnsi"/>
          <w:sz w:val="24"/>
          <w:szCs w:val="24"/>
        </w:rPr>
        <w:t xml:space="preserve"> of statewide programs and policies that can be leveraged.</w:t>
      </w:r>
    </w:p>
    <w:p w14:paraId="1A142A50" w14:textId="2F1B6772" w:rsidR="007964C2" w:rsidRPr="00C44289" w:rsidRDefault="00C0402C" w:rsidP="005202FE">
      <w:pPr>
        <w:rPr>
          <w:rFonts w:cstheme="minorHAnsi"/>
          <w:sz w:val="24"/>
          <w:szCs w:val="24"/>
        </w:rPr>
      </w:pPr>
      <w:hyperlink r:id="rId8" w:history="1">
        <w:r w:rsidR="007964C2" w:rsidRPr="00C44289">
          <w:rPr>
            <w:rStyle w:val="Hyperlink"/>
            <w:rFonts w:cstheme="minorHAnsi"/>
            <w:sz w:val="24"/>
            <w:szCs w:val="24"/>
          </w:rPr>
          <w:t>Developing Credit for Prior L</w:t>
        </w:r>
        <w:r w:rsidR="007964C2" w:rsidRPr="00C44289">
          <w:rPr>
            <w:rStyle w:val="Hyperlink"/>
            <w:rFonts w:cstheme="minorHAnsi"/>
            <w:sz w:val="24"/>
            <w:szCs w:val="24"/>
          </w:rPr>
          <w:t>e</w:t>
        </w:r>
        <w:r w:rsidR="007964C2" w:rsidRPr="00C44289">
          <w:rPr>
            <w:rStyle w:val="Hyperlink"/>
            <w:rFonts w:cstheme="minorHAnsi"/>
            <w:sz w:val="24"/>
            <w:szCs w:val="24"/>
          </w:rPr>
          <w:t>arning Policies</w:t>
        </w:r>
      </w:hyperlink>
    </w:p>
    <w:p w14:paraId="61BA05BA" w14:textId="77777777" w:rsidR="002378E1" w:rsidRDefault="002378E1" w:rsidP="002378E1">
      <w:pPr>
        <w:rPr>
          <w:rFonts w:cstheme="minorHAnsi"/>
          <w:b/>
          <w:bCs/>
          <w:color w:val="004077"/>
          <w:sz w:val="24"/>
          <w:szCs w:val="24"/>
        </w:rPr>
      </w:pPr>
    </w:p>
    <w:p w14:paraId="7D5E36F7" w14:textId="46B67BD9" w:rsidR="002378E1" w:rsidRDefault="002378E1" w:rsidP="002378E1">
      <w:pPr>
        <w:rPr>
          <w:rFonts w:cstheme="minorHAnsi"/>
          <w:b/>
          <w:bCs/>
          <w:color w:val="004077"/>
          <w:sz w:val="24"/>
          <w:szCs w:val="24"/>
        </w:rPr>
      </w:pPr>
      <w:r>
        <w:rPr>
          <w:rFonts w:cstheme="minorHAnsi"/>
          <w:b/>
          <w:bCs/>
          <w:color w:val="004077"/>
          <w:sz w:val="24"/>
          <w:szCs w:val="24"/>
        </w:rPr>
        <w:t>Association of Community College Trustees</w:t>
      </w:r>
    </w:p>
    <w:p w14:paraId="226F9353" w14:textId="3F614BA7" w:rsidR="002378E1" w:rsidRDefault="002378E1" w:rsidP="002378E1">
      <w:pPr>
        <w:rPr>
          <w:rFonts w:cstheme="minorHAnsi"/>
          <w:sz w:val="24"/>
          <w:szCs w:val="24"/>
        </w:rPr>
      </w:pPr>
      <w:r>
        <w:rPr>
          <w:rFonts w:cstheme="minorHAnsi"/>
          <w:sz w:val="24"/>
          <w:szCs w:val="24"/>
        </w:rPr>
        <w:t xml:space="preserve">This resource details the value of CPL specifically for workforce development, especially for prior work and competency-based educational experiences. The resource features local programs at </w:t>
      </w:r>
      <w:r w:rsidR="00325306">
        <w:rPr>
          <w:rFonts w:cstheme="minorHAnsi"/>
          <w:sz w:val="24"/>
          <w:szCs w:val="24"/>
        </w:rPr>
        <w:t xml:space="preserve">Eastern West Virginia Community and Technical College and Dallas County Community College District </w:t>
      </w:r>
      <w:r>
        <w:rPr>
          <w:rFonts w:cstheme="minorHAnsi"/>
          <w:sz w:val="24"/>
          <w:szCs w:val="24"/>
        </w:rPr>
        <w:t>that implement PLA for this population.</w:t>
      </w:r>
    </w:p>
    <w:p w14:paraId="2D7398B7" w14:textId="77777777" w:rsidR="002378E1" w:rsidRPr="006E575C" w:rsidRDefault="00C0402C" w:rsidP="002378E1">
      <w:pPr>
        <w:rPr>
          <w:rFonts w:cstheme="minorHAnsi"/>
          <w:sz w:val="24"/>
          <w:szCs w:val="24"/>
        </w:rPr>
      </w:pPr>
      <w:hyperlink r:id="rId9" w:history="1">
        <w:r w:rsidR="002378E1" w:rsidRPr="004550E8">
          <w:rPr>
            <w:rStyle w:val="Hyperlink"/>
            <w:rFonts w:cstheme="minorHAnsi"/>
            <w:sz w:val="24"/>
            <w:szCs w:val="24"/>
          </w:rPr>
          <w:t>Make It Count: Recognizing Prior Learning for Workforce Development</w:t>
        </w:r>
      </w:hyperlink>
    </w:p>
    <w:p w14:paraId="76DE64EB" w14:textId="051AE4C8" w:rsidR="007964C2" w:rsidRDefault="007964C2" w:rsidP="005202FE">
      <w:pPr>
        <w:rPr>
          <w:rFonts w:cstheme="minorHAnsi"/>
          <w:b/>
          <w:bCs/>
          <w:color w:val="004077"/>
          <w:sz w:val="24"/>
          <w:szCs w:val="24"/>
        </w:rPr>
      </w:pPr>
    </w:p>
    <w:p w14:paraId="1F513B87" w14:textId="77777777" w:rsidR="002378E1" w:rsidRDefault="002378E1" w:rsidP="002378E1">
      <w:pPr>
        <w:rPr>
          <w:rFonts w:cstheme="minorHAnsi"/>
          <w:b/>
          <w:bCs/>
          <w:color w:val="004077"/>
          <w:sz w:val="24"/>
          <w:szCs w:val="24"/>
        </w:rPr>
      </w:pPr>
      <w:r>
        <w:rPr>
          <w:rFonts w:cstheme="minorHAnsi"/>
          <w:b/>
          <w:bCs/>
          <w:color w:val="004077"/>
          <w:sz w:val="24"/>
          <w:szCs w:val="24"/>
        </w:rPr>
        <w:t>NASPA: Student Affairs Administrators in Higher Education</w:t>
      </w:r>
    </w:p>
    <w:p w14:paraId="0A657C65" w14:textId="4F4B0CCF" w:rsidR="002378E1" w:rsidRDefault="002378E1" w:rsidP="002378E1">
      <w:pPr>
        <w:rPr>
          <w:rFonts w:cstheme="minorHAnsi"/>
          <w:sz w:val="24"/>
          <w:szCs w:val="24"/>
        </w:rPr>
      </w:pPr>
      <w:r>
        <w:rPr>
          <w:rFonts w:cstheme="minorHAnsi"/>
          <w:sz w:val="24"/>
          <w:szCs w:val="24"/>
        </w:rPr>
        <w:t xml:space="preserve">This research </w:t>
      </w:r>
      <w:r w:rsidR="00467C8E">
        <w:rPr>
          <w:rFonts w:cstheme="minorHAnsi"/>
          <w:sz w:val="24"/>
          <w:szCs w:val="24"/>
        </w:rPr>
        <w:t xml:space="preserve">brief </w:t>
      </w:r>
      <w:r>
        <w:rPr>
          <w:rFonts w:cstheme="minorHAnsi"/>
          <w:sz w:val="24"/>
          <w:szCs w:val="24"/>
        </w:rPr>
        <w:t xml:space="preserve">investigates the role of advising for ensuring prior learning assessments can be utilized to secure credit and helping students navigate the PLA process. </w:t>
      </w:r>
      <w:r w:rsidR="00325306">
        <w:rPr>
          <w:rFonts w:cstheme="minorHAnsi"/>
          <w:sz w:val="24"/>
          <w:szCs w:val="24"/>
        </w:rPr>
        <w:t>Highlights include how advisors can provide navigational help to learners, how institutions should prioritize information sharing, inclusive implementation methods, and examples of technology-enabled personalized advising.</w:t>
      </w:r>
    </w:p>
    <w:p w14:paraId="2FF8D5A3" w14:textId="6FF8A4AC" w:rsidR="002378E1" w:rsidRDefault="00C0402C" w:rsidP="005202FE">
      <w:pPr>
        <w:rPr>
          <w:rStyle w:val="Hyperlink"/>
          <w:rFonts w:cstheme="minorHAnsi"/>
          <w:sz w:val="24"/>
          <w:szCs w:val="24"/>
        </w:rPr>
      </w:pPr>
      <w:hyperlink r:id="rId10" w:history="1">
        <w:r w:rsidR="002378E1" w:rsidRPr="006E575C">
          <w:rPr>
            <w:rStyle w:val="Hyperlink"/>
            <w:rFonts w:cstheme="minorHAnsi"/>
            <w:sz w:val="24"/>
            <w:szCs w:val="24"/>
          </w:rPr>
          <w:t>Advising and Prior Learning Assessment for Degree Completion</w:t>
        </w:r>
      </w:hyperlink>
    </w:p>
    <w:p w14:paraId="30D24F4D" w14:textId="77777777" w:rsidR="00E03891" w:rsidRPr="001E2388" w:rsidRDefault="00E03891" w:rsidP="005202FE">
      <w:pPr>
        <w:rPr>
          <w:rFonts w:cstheme="minorHAnsi"/>
          <w:sz w:val="24"/>
          <w:szCs w:val="24"/>
        </w:rPr>
      </w:pPr>
    </w:p>
    <w:p w14:paraId="5CCBEC1A" w14:textId="784952C2" w:rsidR="007964C2" w:rsidRPr="00C44289" w:rsidRDefault="007964C2" w:rsidP="005202FE">
      <w:pPr>
        <w:rPr>
          <w:rFonts w:cstheme="minorHAnsi"/>
          <w:b/>
          <w:bCs/>
          <w:color w:val="004077"/>
          <w:sz w:val="24"/>
          <w:szCs w:val="24"/>
        </w:rPr>
      </w:pPr>
      <w:r w:rsidRPr="00C44289">
        <w:rPr>
          <w:rFonts w:cstheme="minorHAnsi"/>
          <w:b/>
          <w:bCs/>
          <w:color w:val="004077"/>
          <w:sz w:val="24"/>
          <w:szCs w:val="24"/>
        </w:rPr>
        <w:t>Western Interstate Commission for Higher Education</w:t>
      </w:r>
    </w:p>
    <w:p w14:paraId="5B31171E" w14:textId="28B353C9" w:rsidR="007964C2" w:rsidRPr="00C44289" w:rsidRDefault="00F41438" w:rsidP="005202FE">
      <w:pPr>
        <w:rPr>
          <w:rFonts w:cstheme="minorHAnsi"/>
          <w:sz w:val="24"/>
          <w:szCs w:val="24"/>
        </w:rPr>
      </w:pPr>
      <w:r w:rsidRPr="00C44289">
        <w:rPr>
          <w:rFonts w:cstheme="minorHAnsi"/>
          <w:sz w:val="24"/>
          <w:szCs w:val="24"/>
        </w:rPr>
        <w:t>This report communicates the value of CPL in the wake of COVID-19, especially in assisting displaced workers and learners work toward degrees. Recommendations include ensuring credit for prior learning is included in workforce training initiatives</w:t>
      </w:r>
      <w:r w:rsidR="00C44289" w:rsidRPr="00C44289">
        <w:rPr>
          <w:rFonts w:cstheme="minorHAnsi"/>
          <w:sz w:val="24"/>
          <w:szCs w:val="24"/>
        </w:rPr>
        <w:t xml:space="preserve"> and expanding institutional partnerships to support CPL agreements.</w:t>
      </w:r>
      <w:r w:rsidR="002759BB">
        <w:rPr>
          <w:rFonts w:cstheme="minorHAnsi"/>
          <w:sz w:val="24"/>
          <w:szCs w:val="24"/>
        </w:rPr>
        <w:t xml:space="preserve"> This research provides strong data about the value of CPL</w:t>
      </w:r>
      <w:r w:rsidR="001E2388">
        <w:rPr>
          <w:rFonts w:cstheme="minorHAnsi"/>
          <w:sz w:val="24"/>
          <w:szCs w:val="24"/>
        </w:rPr>
        <w:t>, especially for racially minoritized groups or special populations.</w:t>
      </w:r>
    </w:p>
    <w:p w14:paraId="1355E397" w14:textId="26882291" w:rsidR="00C44289" w:rsidRPr="00C44289" w:rsidRDefault="00C0402C" w:rsidP="005202FE">
      <w:pPr>
        <w:rPr>
          <w:rFonts w:cstheme="minorHAnsi"/>
          <w:color w:val="004077"/>
          <w:sz w:val="24"/>
          <w:szCs w:val="24"/>
        </w:rPr>
      </w:pPr>
      <w:hyperlink r:id="rId11" w:history="1">
        <w:r w:rsidR="00C44289" w:rsidRPr="00C44289">
          <w:rPr>
            <w:rStyle w:val="Hyperlink"/>
            <w:rFonts w:cstheme="minorHAnsi"/>
            <w:sz w:val="24"/>
            <w:szCs w:val="24"/>
          </w:rPr>
          <w:t>Recognizing Prior Learning in the COVID-19 Era: Helping Displaced Workers and Students One Credit at a Time</w:t>
        </w:r>
      </w:hyperlink>
    </w:p>
    <w:p w14:paraId="6A027CF2" w14:textId="77777777" w:rsidR="002378E1" w:rsidRPr="00C44289" w:rsidRDefault="002378E1" w:rsidP="002378E1">
      <w:pPr>
        <w:rPr>
          <w:rFonts w:cstheme="minorHAnsi"/>
          <w:b/>
          <w:bCs/>
          <w:color w:val="004077"/>
          <w:sz w:val="24"/>
          <w:szCs w:val="24"/>
        </w:rPr>
      </w:pPr>
      <w:r w:rsidRPr="00C44289">
        <w:rPr>
          <w:rFonts w:cstheme="minorHAnsi"/>
          <w:b/>
          <w:bCs/>
          <w:color w:val="004077"/>
          <w:sz w:val="24"/>
          <w:szCs w:val="24"/>
        </w:rPr>
        <w:lastRenderedPageBreak/>
        <w:t>Western Interstate Commission for Higher Education</w:t>
      </w:r>
      <w:r>
        <w:rPr>
          <w:rFonts w:cstheme="minorHAnsi"/>
          <w:b/>
          <w:bCs/>
          <w:color w:val="004077"/>
          <w:sz w:val="24"/>
          <w:szCs w:val="24"/>
        </w:rPr>
        <w:t>/Center for Law and Social Policy</w:t>
      </w:r>
    </w:p>
    <w:p w14:paraId="7C804A0B" w14:textId="77777777" w:rsidR="002378E1" w:rsidRPr="00C44289" w:rsidRDefault="002378E1" w:rsidP="002378E1">
      <w:pPr>
        <w:rPr>
          <w:rFonts w:cstheme="minorHAnsi"/>
          <w:sz w:val="24"/>
          <w:szCs w:val="24"/>
        </w:rPr>
      </w:pPr>
      <w:r w:rsidRPr="00C44289">
        <w:rPr>
          <w:rFonts w:cstheme="minorHAnsi"/>
          <w:sz w:val="24"/>
          <w:szCs w:val="24"/>
        </w:rPr>
        <w:t>This resource details policies and practices related to the recognition of prior learning, particularly through Prior Learning Assessments. This report details summaries of state policies, barriers to implementation, and key recommendations for states and institutions.</w:t>
      </w:r>
    </w:p>
    <w:p w14:paraId="006A5843" w14:textId="78289D1C" w:rsidR="00EB2630" w:rsidRPr="002378E1" w:rsidRDefault="00C0402C" w:rsidP="0011070B">
      <w:pPr>
        <w:rPr>
          <w:rFonts w:cstheme="minorHAnsi"/>
          <w:sz w:val="24"/>
          <w:szCs w:val="24"/>
        </w:rPr>
      </w:pPr>
      <w:hyperlink r:id="rId12" w:history="1">
        <w:r w:rsidR="002378E1" w:rsidRPr="00C44289">
          <w:rPr>
            <w:rStyle w:val="Hyperlink"/>
            <w:rFonts w:cstheme="minorHAnsi"/>
            <w:sz w:val="24"/>
            <w:szCs w:val="24"/>
          </w:rPr>
          <w:t>https://www.wiche.edu/wp-content/uploads/2020/11/The-Current-State-of-PLA-Policies.pdf</w:t>
        </w:r>
      </w:hyperlink>
    </w:p>
    <w:p w14:paraId="5191FD7C" w14:textId="77777777" w:rsidR="00EB2630" w:rsidRDefault="00EB2630" w:rsidP="0011070B">
      <w:pPr>
        <w:rPr>
          <w:rFonts w:cstheme="minorHAnsi"/>
          <w:i/>
          <w:iCs/>
          <w:sz w:val="24"/>
          <w:szCs w:val="24"/>
        </w:rPr>
      </w:pPr>
    </w:p>
    <w:p w14:paraId="6CBF9360" w14:textId="25B7A9D2" w:rsidR="00EB2630" w:rsidRPr="00EB2630" w:rsidRDefault="009B6F86">
      <w:pPr>
        <w:rPr>
          <w:rFonts w:cstheme="minorHAnsi"/>
          <w:i/>
          <w:iCs/>
          <w:sz w:val="24"/>
          <w:szCs w:val="24"/>
        </w:rPr>
      </w:pPr>
      <w:r w:rsidRPr="00C44289">
        <w:rPr>
          <w:rFonts w:cstheme="minorHAnsi"/>
          <w:i/>
          <w:iCs/>
          <w:sz w:val="24"/>
          <w:szCs w:val="24"/>
        </w:rPr>
        <w:t>State</w:t>
      </w:r>
      <w:r w:rsidR="00325306">
        <w:rPr>
          <w:rFonts w:cstheme="minorHAnsi"/>
          <w:i/>
          <w:iCs/>
          <w:sz w:val="24"/>
          <w:szCs w:val="24"/>
        </w:rPr>
        <w:t xml:space="preserve"> and Local</w:t>
      </w:r>
      <w:r w:rsidRPr="00C44289">
        <w:rPr>
          <w:rFonts w:cstheme="minorHAnsi"/>
          <w:i/>
          <w:iCs/>
          <w:sz w:val="24"/>
          <w:szCs w:val="24"/>
        </w:rPr>
        <w:t xml:space="preserve"> Exemplars</w:t>
      </w:r>
    </w:p>
    <w:p w14:paraId="1DBB64E0" w14:textId="342E3BF9" w:rsidR="00E171E3" w:rsidRDefault="00D928E7">
      <w:pPr>
        <w:rPr>
          <w:rFonts w:cstheme="minorHAnsi"/>
          <w:b/>
          <w:bCs/>
          <w:sz w:val="24"/>
          <w:szCs w:val="24"/>
        </w:rPr>
      </w:pPr>
      <w:r w:rsidRPr="00C44289">
        <w:rPr>
          <w:rFonts w:cstheme="minorHAnsi"/>
          <w:b/>
          <w:bCs/>
          <w:sz w:val="24"/>
          <w:szCs w:val="24"/>
        </w:rPr>
        <w:t>Colorado</w:t>
      </w:r>
    </w:p>
    <w:p w14:paraId="4E9AD33E" w14:textId="4DA24D9E" w:rsidR="00551AE1" w:rsidRDefault="00551AE1">
      <w:pPr>
        <w:rPr>
          <w:rFonts w:cstheme="minorHAnsi"/>
          <w:sz w:val="24"/>
          <w:szCs w:val="24"/>
        </w:rPr>
      </w:pPr>
      <w:r>
        <w:rPr>
          <w:rFonts w:cstheme="minorHAnsi"/>
          <w:sz w:val="24"/>
          <w:szCs w:val="24"/>
        </w:rPr>
        <w:t xml:space="preserve">Colorado has state statutes surrounding the use of pre-apprenticeship or internship work for postsecondary credits and concurrent enrollment. They also feature recommendations to expand and enhance these programs at a local level. </w:t>
      </w:r>
      <w:hyperlink r:id="rId13" w:history="1">
        <w:r w:rsidRPr="00026080">
          <w:rPr>
            <w:rStyle w:val="Hyperlink"/>
            <w:rFonts w:cstheme="minorHAnsi"/>
            <w:sz w:val="24"/>
            <w:szCs w:val="24"/>
          </w:rPr>
          <w:t>https://www.cde.state.co.us/postsecondary/1275recs_dec2015</w:t>
        </w:r>
      </w:hyperlink>
      <w:r>
        <w:rPr>
          <w:rFonts w:cstheme="minorHAnsi"/>
          <w:sz w:val="24"/>
          <w:szCs w:val="24"/>
        </w:rPr>
        <w:t xml:space="preserve"> </w:t>
      </w:r>
    </w:p>
    <w:p w14:paraId="6688899A" w14:textId="4DED8A76" w:rsidR="004D0634" w:rsidRDefault="004D0634">
      <w:pPr>
        <w:rPr>
          <w:rFonts w:cstheme="minorHAnsi"/>
          <w:b/>
          <w:bCs/>
          <w:sz w:val="24"/>
          <w:szCs w:val="24"/>
        </w:rPr>
      </w:pPr>
      <w:r>
        <w:rPr>
          <w:rFonts w:cstheme="minorHAnsi"/>
          <w:b/>
          <w:bCs/>
          <w:sz w:val="24"/>
          <w:szCs w:val="24"/>
        </w:rPr>
        <w:t>Louisiana</w:t>
      </w:r>
    </w:p>
    <w:p w14:paraId="2CE5A1CB" w14:textId="2B4D71DE" w:rsidR="004D0634" w:rsidRPr="004D0634" w:rsidRDefault="004D0634">
      <w:pPr>
        <w:rPr>
          <w:rFonts w:cstheme="minorHAnsi"/>
          <w:sz w:val="24"/>
          <w:szCs w:val="24"/>
        </w:rPr>
      </w:pPr>
      <w:r>
        <w:rPr>
          <w:rFonts w:cstheme="minorHAnsi"/>
          <w:sz w:val="24"/>
          <w:szCs w:val="24"/>
        </w:rPr>
        <w:t>Louisiana’s Community and Technical College System</w:t>
      </w:r>
      <w:r w:rsidR="0021069D">
        <w:rPr>
          <w:rFonts w:cstheme="minorHAnsi"/>
          <w:sz w:val="24"/>
          <w:szCs w:val="24"/>
        </w:rPr>
        <w:t xml:space="preserve"> (LCTCS)</w:t>
      </w:r>
      <w:r>
        <w:rPr>
          <w:rFonts w:cstheme="minorHAnsi"/>
          <w:sz w:val="24"/>
          <w:szCs w:val="24"/>
        </w:rPr>
        <w:t xml:space="preserve"> has established a system-wide </w:t>
      </w:r>
      <w:hyperlink r:id="rId14" w:history="1">
        <w:r w:rsidRPr="0021069D">
          <w:rPr>
            <w:rStyle w:val="Hyperlink"/>
            <w:rFonts w:cstheme="minorHAnsi"/>
            <w:sz w:val="24"/>
            <w:szCs w:val="24"/>
          </w:rPr>
          <w:t>credit for pri</w:t>
        </w:r>
        <w:r w:rsidR="0021069D" w:rsidRPr="0021069D">
          <w:rPr>
            <w:rStyle w:val="Hyperlink"/>
            <w:rFonts w:cstheme="minorHAnsi"/>
            <w:sz w:val="24"/>
            <w:szCs w:val="24"/>
          </w:rPr>
          <w:t>or learning equivalency policy</w:t>
        </w:r>
      </w:hyperlink>
      <w:r w:rsidR="0021069D">
        <w:rPr>
          <w:rFonts w:cstheme="minorHAnsi"/>
          <w:sz w:val="24"/>
          <w:szCs w:val="24"/>
        </w:rPr>
        <w:t xml:space="preserve">. When combined with the state’s </w:t>
      </w:r>
      <w:hyperlink r:id="rId15" w:history="1">
        <w:r w:rsidR="0021069D" w:rsidRPr="0021069D">
          <w:rPr>
            <w:rStyle w:val="Hyperlink"/>
            <w:rFonts w:cstheme="minorHAnsi"/>
            <w:sz w:val="24"/>
            <w:szCs w:val="24"/>
          </w:rPr>
          <w:t>Jump Start</w:t>
        </w:r>
      </w:hyperlink>
      <w:r w:rsidR="0021069D">
        <w:rPr>
          <w:rFonts w:cstheme="minorHAnsi"/>
          <w:sz w:val="24"/>
          <w:szCs w:val="24"/>
        </w:rPr>
        <w:t xml:space="preserve"> program, secondary learners can work toward youth apprenticeships, industry-recognized credentials, and work-based learning experiences that will align with LCTCS coursework. Over 100 credentials have been crosswalked with college coursework and academic credit.</w:t>
      </w:r>
    </w:p>
    <w:p w14:paraId="2AC3BAE4" w14:textId="2D80E59A" w:rsidR="006B6432" w:rsidRDefault="006B6432">
      <w:pPr>
        <w:rPr>
          <w:rFonts w:cstheme="minorHAnsi"/>
          <w:sz w:val="24"/>
          <w:szCs w:val="24"/>
        </w:rPr>
      </w:pPr>
      <w:r>
        <w:rPr>
          <w:rFonts w:cstheme="minorHAnsi"/>
          <w:b/>
          <w:bCs/>
          <w:sz w:val="24"/>
          <w:szCs w:val="24"/>
        </w:rPr>
        <w:t>Rhode Island</w:t>
      </w:r>
    </w:p>
    <w:p w14:paraId="44F50156" w14:textId="243DA433" w:rsidR="006B6432" w:rsidRPr="006B6432" w:rsidRDefault="006B6432">
      <w:pPr>
        <w:rPr>
          <w:rFonts w:cstheme="minorHAnsi"/>
          <w:sz w:val="24"/>
          <w:szCs w:val="24"/>
        </w:rPr>
      </w:pPr>
      <w:r>
        <w:rPr>
          <w:rFonts w:cstheme="minorHAnsi"/>
          <w:sz w:val="24"/>
          <w:szCs w:val="24"/>
        </w:rPr>
        <w:t xml:space="preserve">Rhode Island </w:t>
      </w:r>
      <w:r w:rsidR="00551AE1">
        <w:rPr>
          <w:rFonts w:cstheme="minorHAnsi"/>
          <w:sz w:val="24"/>
          <w:szCs w:val="24"/>
        </w:rPr>
        <w:t xml:space="preserve">grants credit for prior learning for apprenticeship programs or on-the-job learning, depending on the sponsor and associated coursework, including principles for CTE secondary students. </w:t>
      </w:r>
      <w:hyperlink r:id="rId16" w:history="1">
        <w:r w:rsidR="00551AE1" w:rsidRPr="00026080">
          <w:rPr>
            <w:rStyle w:val="Hyperlink"/>
            <w:rFonts w:cstheme="minorHAnsi"/>
            <w:sz w:val="24"/>
            <w:szCs w:val="24"/>
          </w:rPr>
          <w:t>https://dlt.ri.gov/documents/pdf/apprenticeship/31Credit%20for%20Prior%20Learning.pdf</w:t>
        </w:r>
      </w:hyperlink>
      <w:r w:rsidR="00551AE1">
        <w:rPr>
          <w:rFonts w:cstheme="minorHAnsi"/>
          <w:sz w:val="24"/>
          <w:szCs w:val="24"/>
        </w:rPr>
        <w:t xml:space="preserve"> </w:t>
      </w:r>
    </w:p>
    <w:p w14:paraId="0A6CACA0" w14:textId="5A2BEC5D" w:rsidR="00D928E7" w:rsidRDefault="00D928E7">
      <w:pPr>
        <w:rPr>
          <w:rFonts w:cstheme="minorHAnsi"/>
          <w:b/>
          <w:bCs/>
          <w:sz w:val="24"/>
          <w:szCs w:val="24"/>
        </w:rPr>
      </w:pPr>
      <w:r w:rsidRPr="00C44289">
        <w:rPr>
          <w:rFonts w:cstheme="minorHAnsi"/>
          <w:b/>
          <w:bCs/>
          <w:sz w:val="24"/>
          <w:szCs w:val="24"/>
        </w:rPr>
        <w:t>Tennessee</w:t>
      </w:r>
    </w:p>
    <w:p w14:paraId="62178386" w14:textId="175553A0" w:rsidR="001E2388" w:rsidRDefault="00E03891">
      <w:pPr>
        <w:rPr>
          <w:rFonts w:cstheme="minorHAnsi"/>
          <w:sz w:val="24"/>
          <w:szCs w:val="24"/>
        </w:rPr>
      </w:pPr>
      <w:r>
        <w:rPr>
          <w:rFonts w:cstheme="minorHAnsi"/>
          <w:sz w:val="24"/>
          <w:szCs w:val="24"/>
        </w:rPr>
        <w:t xml:space="preserve">As part of their </w:t>
      </w:r>
      <w:hyperlink r:id="rId17" w:history="1">
        <w:r w:rsidR="001E2388" w:rsidRPr="00E03891">
          <w:rPr>
            <w:rStyle w:val="Hyperlink"/>
            <w:rFonts w:cstheme="minorHAnsi"/>
            <w:sz w:val="24"/>
            <w:szCs w:val="24"/>
          </w:rPr>
          <w:t xml:space="preserve">Tennessee </w:t>
        </w:r>
        <w:r w:rsidRPr="00E03891">
          <w:rPr>
            <w:rStyle w:val="Hyperlink"/>
            <w:rFonts w:cstheme="minorHAnsi"/>
            <w:sz w:val="24"/>
            <w:szCs w:val="24"/>
          </w:rPr>
          <w:t>Reconnect</w:t>
        </w:r>
      </w:hyperlink>
      <w:r>
        <w:rPr>
          <w:rFonts w:cstheme="minorHAnsi"/>
          <w:sz w:val="24"/>
          <w:szCs w:val="24"/>
        </w:rPr>
        <w:t xml:space="preserve"> program, Tennessee </w:t>
      </w:r>
      <w:r w:rsidR="001E2388">
        <w:rPr>
          <w:rFonts w:cstheme="minorHAnsi"/>
          <w:sz w:val="24"/>
          <w:szCs w:val="24"/>
        </w:rPr>
        <w:t xml:space="preserve">has a statewide program called TimewiseTN that rewards learners for their prior learning at most Tennessee colleges and universities. </w:t>
      </w:r>
    </w:p>
    <w:p w14:paraId="3F5DD2E4" w14:textId="72BBF454" w:rsidR="001E2388" w:rsidRPr="001E2388" w:rsidRDefault="00C0402C">
      <w:pPr>
        <w:rPr>
          <w:rFonts w:cstheme="minorHAnsi"/>
          <w:sz w:val="24"/>
          <w:szCs w:val="24"/>
        </w:rPr>
      </w:pPr>
      <w:hyperlink r:id="rId18" w:history="1">
        <w:r w:rsidR="001E2388" w:rsidRPr="00BE33BD">
          <w:rPr>
            <w:rStyle w:val="Hyperlink"/>
            <w:rFonts w:cstheme="minorHAnsi"/>
            <w:sz w:val="24"/>
            <w:szCs w:val="24"/>
          </w:rPr>
          <w:t>https://tnreconnect.gov/Choose-a-Degree-College-Path/Prior-Learning-Assessment-Information</w:t>
        </w:r>
      </w:hyperlink>
      <w:r w:rsidR="001E2388">
        <w:rPr>
          <w:rFonts w:cstheme="minorHAnsi"/>
          <w:sz w:val="24"/>
          <w:szCs w:val="24"/>
        </w:rPr>
        <w:t xml:space="preserve"> </w:t>
      </w:r>
    </w:p>
    <w:p w14:paraId="58441DC8" w14:textId="11FA926B" w:rsidR="00D928E7" w:rsidRDefault="00D928E7">
      <w:pPr>
        <w:rPr>
          <w:rFonts w:cstheme="minorHAnsi"/>
          <w:b/>
          <w:bCs/>
          <w:sz w:val="24"/>
          <w:szCs w:val="24"/>
        </w:rPr>
      </w:pPr>
      <w:r w:rsidRPr="00C44289">
        <w:rPr>
          <w:rFonts w:cstheme="minorHAnsi"/>
          <w:b/>
          <w:bCs/>
          <w:sz w:val="24"/>
          <w:szCs w:val="24"/>
        </w:rPr>
        <w:t>Virginia</w:t>
      </w:r>
    </w:p>
    <w:p w14:paraId="442C7CA8" w14:textId="77777777" w:rsidR="00325306" w:rsidRPr="002759BB" w:rsidRDefault="00325306" w:rsidP="00325306">
      <w:pPr>
        <w:rPr>
          <w:rFonts w:cstheme="minorHAnsi"/>
          <w:b/>
          <w:bCs/>
          <w:sz w:val="24"/>
          <w:szCs w:val="24"/>
        </w:rPr>
      </w:pPr>
      <w:r w:rsidRPr="002759BB">
        <w:rPr>
          <w:rFonts w:cstheme="minorHAnsi"/>
          <w:b/>
          <w:bCs/>
          <w:sz w:val="24"/>
          <w:szCs w:val="24"/>
        </w:rPr>
        <w:t>Tidewater Community College</w:t>
      </w:r>
    </w:p>
    <w:p w14:paraId="79B71052" w14:textId="55F3269C" w:rsidR="00325306" w:rsidRPr="00C44289" w:rsidRDefault="00325306" w:rsidP="00325306">
      <w:pPr>
        <w:rPr>
          <w:rFonts w:cstheme="minorHAnsi"/>
          <w:sz w:val="24"/>
          <w:szCs w:val="24"/>
        </w:rPr>
      </w:pPr>
      <w:r w:rsidRPr="00C44289">
        <w:rPr>
          <w:rFonts w:cstheme="minorHAnsi"/>
          <w:sz w:val="24"/>
          <w:szCs w:val="24"/>
        </w:rPr>
        <w:lastRenderedPageBreak/>
        <w:t>Tidewater Community College developed a Technical Studies program, allowing participants to earn an Associate of Applied Science in Technical Studies, gain credit for documented previous occupational training and transition to Old Dominion University. This program rewards those with documented technical skills and previous professional experience with college credit that is applied directly to the degree</w:t>
      </w:r>
      <w:r w:rsidR="002759BB">
        <w:rPr>
          <w:rFonts w:cstheme="minorHAnsi"/>
          <w:sz w:val="24"/>
          <w:szCs w:val="24"/>
        </w:rPr>
        <w:t xml:space="preserve"> and is exemplary due to how catered this program is to learners with prior experience and their inclusion in the development of this program.</w:t>
      </w:r>
    </w:p>
    <w:p w14:paraId="6BCE166D" w14:textId="2A8E99E6" w:rsidR="00A11098" w:rsidRPr="00E03891" w:rsidRDefault="00C0402C" w:rsidP="00A11098">
      <w:pPr>
        <w:rPr>
          <w:rFonts w:cstheme="minorHAnsi"/>
          <w:sz w:val="24"/>
          <w:szCs w:val="24"/>
        </w:rPr>
      </w:pPr>
      <w:hyperlink r:id="rId19" w:history="1">
        <w:r w:rsidR="00325306" w:rsidRPr="00C44289">
          <w:rPr>
            <w:rStyle w:val="Hyperlink"/>
            <w:rFonts w:cstheme="minorHAnsi"/>
            <w:sz w:val="24"/>
            <w:szCs w:val="24"/>
          </w:rPr>
          <w:t>https://news.tcc.edu/odu-technical-studies-agreement/</w:t>
        </w:r>
      </w:hyperlink>
    </w:p>
    <w:sectPr w:rsidR="00A11098" w:rsidRPr="00E03891">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2ECD" w14:textId="77777777" w:rsidR="00C0402C" w:rsidRDefault="00C0402C" w:rsidP="00A226F6">
      <w:pPr>
        <w:spacing w:after="0" w:line="240" w:lineRule="auto"/>
      </w:pPr>
      <w:r>
        <w:separator/>
      </w:r>
    </w:p>
  </w:endnote>
  <w:endnote w:type="continuationSeparator" w:id="0">
    <w:p w14:paraId="203F8E12" w14:textId="77777777" w:rsidR="00C0402C" w:rsidRDefault="00C0402C" w:rsidP="00A2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A00E" w14:textId="77777777" w:rsidR="00C0402C" w:rsidRDefault="00C0402C" w:rsidP="00A226F6">
      <w:pPr>
        <w:spacing w:after="0" w:line="240" w:lineRule="auto"/>
      </w:pPr>
      <w:r>
        <w:separator/>
      </w:r>
    </w:p>
  </w:footnote>
  <w:footnote w:type="continuationSeparator" w:id="0">
    <w:p w14:paraId="742EC09E" w14:textId="77777777" w:rsidR="00C0402C" w:rsidRDefault="00C0402C" w:rsidP="00A22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B6B8" w14:textId="62D0DC39" w:rsidR="00A226F6" w:rsidRDefault="00A226F6">
    <w:pPr>
      <w:pStyle w:val="Header"/>
    </w:pPr>
    <w:r>
      <w:rPr>
        <w:rFonts w:ascii="Arial" w:hAnsi="Arial" w:cs="Arial"/>
        <w:noProof/>
        <w:color w:val="000000"/>
        <w:bdr w:val="none" w:sz="0" w:space="0" w:color="auto" w:frame="1"/>
      </w:rPr>
      <w:drawing>
        <wp:anchor distT="0" distB="0" distL="114300" distR="114300" simplePos="0" relativeHeight="251659264" behindDoc="1" locked="0" layoutInCell="1" allowOverlap="1" wp14:anchorId="019D51D3" wp14:editId="1B0FE828">
          <wp:simplePos x="0" y="0"/>
          <wp:positionH relativeFrom="margin">
            <wp:posOffset>-371475</wp:posOffset>
          </wp:positionH>
          <wp:positionV relativeFrom="paragraph">
            <wp:posOffset>-314325</wp:posOffset>
          </wp:positionV>
          <wp:extent cx="2095500" cy="706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067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AAD"/>
    <w:multiLevelType w:val="hybridMultilevel"/>
    <w:tmpl w:val="F700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01E15"/>
    <w:multiLevelType w:val="hybridMultilevel"/>
    <w:tmpl w:val="92D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10D0A"/>
    <w:multiLevelType w:val="hybridMultilevel"/>
    <w:tmpl w:val="5B3EDA66"/>
    <w:lvl w:ilvl="0" w:tplc="7E76E1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54129"/>
    <w:multiLevelType w:val="multilevel"/>
    <w:tmpl w:val="EA0EA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510E3"/>
    <w:multiLevelType w:val="multilevel"/>
    <w:tmpl w:val="18FA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E32EC"/>
    <w:multiLevelType w:val="hybridMultilevel"/>
    <w:tmpl w:val="7E4A4A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8C3635"/>
    <w:multiLevelType w:val="multilevel"/>
    <w:tmpl w:val="904A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716A37"/>
    <w:multiLevelType w:val="hybridMultilevel"/>
    <w:tmpl w:val="275E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963D2"/>
    <w:multiLevelType w:val="multilevel"/>
    <w:tmpl w:val="6092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D45A4C"/>
    <w:multiLevelType w:val="multilevel"/>
    <w:tmpl w:val="CEF2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65A47"/>
    <w:multiLevelType w:val="hybridMultilevel"/>
    <w:tmpl w:val="18AE4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E339F"/>
    <w:multiLevelType w:val="multilevel"/>
    <w:tmpl w:val="5286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8A4580"/>
    <w:multiLevelType w:val="hybridMultilevel"/>
    <w:tmpl w:val="BA168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0355B"/>
    <w:multiLevelType w:val="hybridMultilevel"/>
    <w:tmpl w:val="FA2AC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CA77E7"/>
    <w:multiLevelType w:val="multilevel"/>
    <w:tmpl w:val="1ABCE71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5818D5"/>
    <w:multiLevelType w:val="hybridMultilevel"/>
    <w:tmpl w:val="CBA64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147DA8"/>
    <w:multiLevelType w:val="multilevel"/>
    <w:tmpl w:val="C0D07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453542"/>
    <w:multiLevelType w:val="hybridMultilevel"/>
    <w:tmpl w:val="B5CCF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9"/>
  </w:num>
  <w:num w:numId="4">
    <w:abstractNumId w:val="16"/>
  </w:num>
  <w:num w:numId="5">
    <w:abstractNumId w:val="0"/>
  </w:num>
  <w:num w:numId="6">
    <w:abstractNumId w:val="2"/>
  </w:num>
  <w:num w:numId="7">
    <w:abstractNumId w:val="15"/>
  </w:num>
  <w:num w:numId="8">
    <w:abstractNumId w:val="12"/>
  </w:num>
  <w:num w:numId="9">
    <w:abstractNumId w:val="5"/>
  </w:num>
  <w:num w:numId="10">
    <w:abstractNumId w:val="3"/>
  </w:num>
  <w:num w:numId="11">
    <w:abstractNumId w:val="1"/>
  </w:num>
  <w:num w:numId="12">
    <w:abstractNumId w:val="14"/>
  </w:num>
  <w:num w:numId="13">
    <w:abstractNumId w:val="10"/>
  </w:num>
  <w:num w:numId="14">
    <w:abstractNumId w:val="11"/>
  </w:num>
  <w:num w:numId="15">
    <w:abstractNumId w:val="6"/>
  </w:num>
  <w:num w:numId="16">
    <w:abstractNumId w:val="8"/>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22"/>
    <w:rsid w:val="00057A05"/>
    <w:rsid w:val="00071934"/>
    <w:rsid w:val="0011070B"/>
    <w:rsid w:val="00112D45"/>
    <w:rsid w:val="00124F6E"/>
    <w:rsid w:val="001466CC"/>
    <w:rsid w:val="00170BC2"/>
    <w:rsid w:val="0018613C"/>
    <w:rsid w:val="001A210D"/>
    <w:rsid w:val="001B217D"/>
    <w:rsid w:val="001E2388"/>
    <w:rsid w:val="0021069D"/>
    <w:rsid w:val="00232528"/>
    <w:rsid w:val="002378E1"/>
    <w:rsid w:val="00244E67"/>
    <w:rsid w:val="00260FB2"/>
    <w:rsid w:val="002759BB"/>
    <w:rsid w:val="002A4063"/>
    <w:rsid w:val="00325306"/>
    <w:rsid w:val="003B6B90"/>
    <w:rsid w:val="003C2843"/>
    <w:rsid w:val="003E2358"/>
    <w:rsid w:val="003F310C"/>
    <w:rsid w:val="0044384F"/>
    <w:rsid w:val="004550E8"/>
    <w:rsid w:val="00467C8E"/>
    <w:rsid w:val="004A2A1F"/>
    <w:rsid w:val="004D0634"/>
    <w:rsid w:val="004D0CEA"/>
    <w:rsid w:val="004E6514"/>
    <w:rsid w:val="005202FE"/>
    <w:rsid w:val="00551AE1"/>
    <w:rsid w:val="005E7450"/>
    <w:rsid w:val="005F72D6"/>
    <w:rsid w:val="00627B95"/>
    <w:rsid w:val="006317BF"/>
    <w:rsid w:val="00647051"/>
    <w:rsid w:val="00653FAD"/>
    <w:rsid w:val="00693D22"/>
    <w:rsid w:val="006B6432"/>
    <w:rsid w:val="006C0D7B"/>
    <w:rsid w:val="006E575C"/>
    <w:rsid w:val="006F41FC"/>
    <w:rsid w:val="00727F83"/>
    <w:rsid w:val="0077461D"/>
    <w:rsid w:val="00785F62"/>
    <w:rsid w:val="00790AFA"/>
    <w:rsid w:val="007964C2"/>
    <w:rsid w:val="007E5BA6"/>
    <w:rsid w:val="007F7FA1"/>
    <w:rsid w:val="0085064D"/>
    <w:rsid w:val="00871313"/>
    <w:rsid w:val="008A7F79"/>
    <w:rsid w:val="009B6F86"/>
    <w:rsid w:val="009C6E3A"/>
    <w:rsid w:val="009E338D"/>
    <w:rsid w:val="00A11098"/>
    <w:rsid w:val="00A13E1B"/>
    <w:rsid w:val="00A226F6"/>
    <w:rsid w:val="00A45907"/>
    <w:rsid w:val="00A642AA"/>
    <w:rsid w:val="00A705C0"/>
    <w:rsid w:val="00AA3EAE"/>
    <w:rsid w:val="00B572D0"/>
    <w:rsid w:val="00BE6E33"/>
    <w:rsid w:val="00C0402C"/>
    <w:rsid w:val="00C0500A"/>
    <w:rsid w:val="00C1391D"/>
    <w:rsid w:val="00C26449"/>
    <w:rsid w:val="00C44289"/>
    <w:rsid w:val="00D31BF6"/>
    <w:rsid w:val="00D45269"/>
    <w:rsid w:val="00D656E2"/>
    <w:rsid w:val="00D66932"/>
    <w:rsid w:val="00D928E7"/>
    <w:rsid w:val="00DC3E84"/>
    <w:rsid w:val="00E03891"/>
    <w:rsid w:val="00E1197B"/>
    <w:rsid w:val="00E171E3"/>
    <w:rsid w:val="00EB2630"/>
    <w:rsid w:val="00EE4126"/>
    <w:rsid w:val="00F0624A"/>
    <w:rsid w:val="00F07F01"/>
    <w:rsid w:val="00F41438"/>
    <w:rsid w:val="00F43880"/>
    <w:rsid w:val="00F64369"/>
    <w:rsid w:val="00F85D89"/>
    <w:rsid w:val="00F96A4C"/>
    <w:rsid w:val="00FA6FA4"/>
    <w:rsid w:val="00FD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7A08"/>
  <w15:chartTrackingRefBased/>
  <w15:docId w15:val="{6B1A146D-3B16-4BF4-BF04-101C8962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5F62"/>
    <w:rPr>
      <w:color w:val="0563C1" w:themeColor="hyperlink"/>
      <w:u w:val="single"/>
    </w:rPr>
  </w:style>
  <w:style w:type="character" w:styleId="UnresolvedMention">
    <w:name w:val="Unresolved Mention"/>
    <w:basedOn w:val="DefaultParagraphFont"/>
    <w:uiPriority w:val="99"/>
    <w:semiHidden/>
    <w:unhideWhenUsed/>
    <w:rsid w:val="00785F62"/>
    <w:rPr>
      <w:color w:val="605E5C"/>
      <w:shd w:val="clear" w:color="auto" w:fill="E1DFDD"/>
    </w:rPr>
  </w:style>
  <w:style w:type="paragraph" w:styleId="ListParagraph">
    <w:name w:val="List Paragraph"/>
    <w:basedOn w:val="Normal"/>
    <w:uiPriority w:val="34"/>
    <w:qFormat/>
    <w:rsid w:val="008A7F79"/>
    <w:pPr>
      <w:ind w:left="720"/>
      <w:contextualSpacing/>
    </w:pPr>
  </w:style>
  <w:style w:type="character" w:styleId="FollowedHyperlink">
    <w:name w:val="FollowedHyperlink"/>
    <w:basedOn w:val="DefaultParagraphFont"/>
    <w:uiPriority w:val="99"/>
    <w:semiHidden/>
    <w:unhideWhenUsed/>
    <w:rsid w:val="00727F83"/>
    <w:rPr>
      <w:color w:val="954F72" w:themeColor="followedHyperlink"/>
      <w:u w:val="single"/>
    </w:rPr>
  </w:style>
  <w:style w:type="paragraph" w:styleId="Header">
    <w:name w:val="header"/>
    <w:basedOn w:val="Normal"/>
    <w:link w:val="HeaderChar"/>
    <w:uiPriority w:val="99"/>
    <w:unhideWhenUsed/>
    <w:rsid w:val="00A22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6F6"/>
  </w:style>
  <w:style w:type="paragraph" w:styleId="Footer">
    <w:name w:val="footer"/>
    <w:basedOn w:val="Normal"/>
    <w:link w:val="FooterChar"/>
    <w:uiPriority w:val="99"/>
    <w:unhideWhenUsed/>
    <w:rsid w:val="00A22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6F6"/>
  </w:style>
  <w:style w:type="paragraph" w:styleId="NormalWeb">
    <w:name w:val="Normal (Web)"/>
    <w:basedOn w:val="Normal"/>
    <w:uiPriority w:val="99"/>
    <w:semiHidden/>
    <w:unhideWhenUsed/>
    <w:rsid w:val="00260FB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67C8E"/>
    <w:rPr>
      <w:sz w:val="16"/>
      <w:szCs w:val="16"/>
    </w:rPr>
  </w:style>
  <w:style w:type="paragraph" w:styleId="CommentText">
    <w:name w:val="annotation text"/>
    <w:basedOn w:val="Normal"/>
    <w:link w:val="CommentTextChar"/>
    <w:uiPriority w:val="99"/>
    <w:semiHidden/>
    <w:unhideWhenUsed/>
    <w:rsid w:val="00467C8E"/>
    <w:pPr>
      <w:spacing w:line="240" w:lineRule="auto"/>
    </w:pPr>
    <w:rPr>
      <w:sz w:val="20"/>
      <w:szCs w:val="20"/>
    </w:rPr>
  </w:style>
  <w:style w:type="character" w:customStyle="1" w:styleId="CommentTextChar">
    <w:name w:val="Comment Text Char"/>
    <w:basedOn w:val="DefaultParagraphFont"/>
    <w:link w:val="CommentText"/>
    <w:uiPriority w:val="99"/>
    <w:semiHidden/>
    <w:rsid w:val="00467C8E"/>
    <w:rPr>
      <w:sz w:val="20"/>
      <w:szCs w:val="20"/>
    </w:rPr>
  </w:style>
  <w:style w:type="paragraph" w:styleId="CommentSubject">
    <w:name w:val="annotation subject"/>
    <w:basedOn w:val="CommentText"/>
    <w:next w:val="CommentText"/>
    <w:link w:val="CommentSubjectChar"/>
    <w:uiPriority w:val="99"/>
    <w:semiHidden/>
    <w:unhideWhenUsed/>
    <w:rsid w:val="00467C8E"/>
    <w:rPr>
      <w:b/>
      <w:bCs/>
    </w:rPr>
  </w:style>
  <w:style w:type="character" w:customStyle="1" w:styleId="CommentSubjectChar">
    <w:name w:val="Comment Subject Char"/>
    <w:basedOn w:val="CommentTextChar"/>
    <w:link w:val="CommentSubject"/>
    <w:uiPriority w:val="99"/>
    <w:semiHidden/>
    <w:rsid w:val="00467C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7793">
      <w:bodyDiv w:val="1"/>
      <w:marLeft w:val="0"/>
      <w:marRight w:val="0"/>
      <w:marTop w:val="0"/>
      <w:marBottom w:val="0"/>
      <w:divBdr>
        <w:top w:val="none" w:sz="0" w:space="0" w:color="auto"/>
        <w:left w:val="none" w:sz="0" w:space="0" w:color="auto"/>
        <w:bottom w:val="none" w:sz="0" w:space="0" w:color="auto"/>
        <w:right w:val="none" w:sz="0" w:space="0" w:color="auto"/>
      </w:divBdr>
    </w:div>
    <w:div w:id="733048064">
      <w:bodyDiv w:val="1"/>
      <w:marLeft w:val="0"/>
      <w:marRight w:val="0"/>
      <w:marTop w:val="0"/>
      <w:marBottom w:val="0"/>
      <w:divBdr>
        <w:top w:val="none" w:sz="0" w:space="0" w:color="auto"/>
        <w:left w:val="none" w:sz="0" w:space="0" w:color="auto"/>
        <w:bottom w:val="none" w:sz="0" w:space="0" w:color="auto"/>
        <w:right w:val="none" w:sz="0" w:space="0" w:color="auto"/>
      </w:divBdr>
    </w:div>
    <w:div w:id="790241701">
      <w:bodyDiv w:val="1"/>
      <w:marLeft w:val="0"/>
      <w:marRight w:val="0"/>
      <w:marTop w:val="0"/>
      <w:marBottom w:val="0"/>
      <w:divBdr>
        <w:top w:val="none" w:sz="0" w:space="0" w:color="auto"/>
        <w:left w:val="none" w:sz="0" w:space="0" w:color="auto"/>
        <w:bottom w:val="none" w:sz="0" w:space="0" w:color="auto"/>
        <w:right w:val="none" w:sz="0" w:space="0" w:color="auto"/>
      </w:divBdr>
    </w:div>
    <w:div w:id="1029911724">
      <w:bodyDiv w:val="1"/>
      <w:marLeft w:val="0"/>
      <w:marRight w:val="0"/>
      <w:marTop w:val="0"/>
      <w:marBottom w:val="0"/>
      <w:divBdr>
        <w:top w:val="none" w:sz="0" w:space="0" w:color="auto"/>
        <w:left w:val="none" w:sz="0" w:space="0" w:color="auto"/>
        <w:bottom w:val="none" w:sz="0" w:space="0" w:color="auto"/>
        <w:right w:val="none" w:sz="0" w:space="0" w:color="auto"/>
      </w:divBdr>
    </w:div>
    <w:div w:id="1036658625">
      <w:bodyDiv w:val="1"/>
      <w:marLeft w:val="0"/>
      <w:marRight w:val="0"/>
      <w:marTop w:val="0"/>
      <w:marBottom w:val="0"/>
      <w:divBdr>
        <w:top w:val="none" w:sz="0" w:space="0" w:color="auto"/>
        <w:left w:val="none" w:sz="0" w:space="0" w:color="auto"/>
        <w:bottom w:val="none" w:sz="0" w:space="0" w:color="auto"/>
        <w:right w:val="none" w:sz="0" w:space="0" w:color="auto"/>
      </w:divBdr>
    </w:div>
    <w:div w:id="1078212259">
      <w:bodyDiv w:val="1"/>
      <w:marLeft w:val="0"/>
      <w:marRight w:val="0"/>
      <w:marTop w:val="0"/>
      <w:marBottom w:val="0"/>
      <w:divBdr>
        <w:top w:val="none" w:sz="0" w:space="0" w:color="auto"/>
        <w:left w:val="none" w:sz="0" w:space="0" w:color="auto"/>
        <w:bottom w:val="none" w:sz="0" w:space="0" w:color="auto"/>
        <w:right w:val="none" w:sz="0" w:space="0" w:color="auto"/>
      </w:divBdr>
      <w:divsChild>
        <w:div w:id="1966496729">
          <w:marLeft w:val="0"/>
          <w:marRight w:val="0"/>
          <w:marTop w:val="0"/>
          <w:marBottom w:val="225"/>
          <w:divBdr>
            <w:top w:val="none" w:sz="0" w:space="0" w:color="auto"/>
            <w:left w:val="none" w:sz="0" w:space="0" w:color="auto"/>
            <w:bottom w:val="none" w:sz="0" w:space="0" w:color="auto"/>
            <w:right w:val="none" w:sz="0" w:space="0" w:color="auto"/>
          </w:divBdr>
          <w:divsChild>
            <w:div w:id="10440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18356">
      <w:bodyDiv w:val="1"/>
      <w:marLeft w:val="0"/>
      <w:marRight w:val="0"/>
      <w:marTop w:val="0"/>
      <w:marBottom w:val="0"/>
      <w:divBdr>
        <w:top w:val="none" w:sz="0" w:space="0" w:color="auto"/>
        <w:left w:val="none" w:sz="0" w:space="0" w:color="auto"/>
        <w:bottom w:val="none" w:sz="0" w:space="0" w:color="auto"/>
        <w:right w:val="none" w:sz="0" w:space="0" w:color="auto"/>
      </w:divBdr>
    </w:div>
    <w:div w:id="1544518054">
      <w:bodyDiv w:val="1"/>
      <w:marLeft w:val="0"/>
      <w:marRight w:val="0"/>
      <w:marTop w:val="0"/>
      <w:marBottom w:val="0"/>
      <w:divBdr>
        <w:top w:val="none" w:sz="0" w:space="0" w:color="auto"/>
        <w:left w:val="none" w:sz="0" w:space="0" w:color="auto"/>
        <w:bottom w:val="none" w:sz="0" w:space="0" w:color="auto"/>
        <w:right w:val="none" w:sz="0" w:space="0" w:color="auto"/>
      </w:divBdr>
      <w:divsChild>
        <w:div w:id="1822231949">
          <w:marLeft w:val="0"/>
          <w:marRight w:val="0"/>
          <w:marTop w:val="0"/>
          <w:marBottom w:val="0"/>
          <w:divBdr>
            <w:top w:val="none" w:sz="0" w:space="0" w:color="auto"/>
            <w:left w:val="none" w:sz="0" w:space="0" w:color="auto"/>
            <w:bottom w:val="none" w:sz="0" w:space="0" w:color="auto"/>
            <w:right w:val="none" w:sz="0" w:space="0" w:color="auto"/>
          </w:divBdr>
          <w:divsChild>
            <w:div w:id="512493838">
              <w:marLeft w:val="0"/>
              <w:marRight w:val="0"/>
              <w:marTop w:val="0"/>
              <w:marBottom w:val="0"/>
              <w:divBdr>
                <w:top w:val="none" w:sz="0" w:space="0" w:color="auto"/>
                <w:left w:val="none" w:sz="0" w:space="0" w:color="auto"/>
                <w:bottom w:val="none" w:sz="0" w:space="0" w:color="auto"/>
                <w:right w:val="none" w:sz="0" w:space="0" w:color="auto"/>
              </w:divBdr>
            </w:div>
            <w:div w:id="18309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9948">
      <w:bodyDiv w:val="1"/>
      <w:marLeft w:val="0"/>
      <w:marRight w:val="0"/>
      <w:marTop w:val="0"/>
      <w:marBottom w:val="0"/>
      <w:divBdr>
        <w:top w:val="none" w:sz="0" w:space="0" w:color="auto"/>
        <w:left w:val="none" w:sz="0" w:space="0" w:color="auto"/>
        <w:bottom w:val="none" w:sz="0" w:space="0" w:color="auto"/>
        <w:right w:val="none" w:sz="0" w:space="0" w:color="auto"/>
      </w:divBdr>
      <w:divsChild>
        <w:div w:id="127404442">
          <w:marLeft w:val="0"/>
          <w:marRight w:val="0"/>
          <w:marTop w:val="0"/>
          <w:marBottom w:val="600"/>
          <w:divBdr>
            <w:top w:val="none" w:sz="0" w:space="0" w:color="auto"/>
            <w:left w:val="none" w:sz="0" w:space="0" w:color="auto"/>
            <w:bottom w:val="none" w:sz="0" w:space="0" w:color="auto"/>
            <w:right w:val="none" w:sz="0" w:space="0" w:color="auto"/>
          </w:divBdr>
        </w:div>
      </w:divsChild>
    </w:div>
    <w:div w:id="2004309073">
      <w:bodyDiv w:val="1"/>
      <w:marLeft w:val="0"/>
      <w:marRight w:val="0"/>
      <w:marTop w:val="0"/>
      <w:marBottom w:val="0"/>
      <w:divBdr>
        <w:top w:val="none" w:sz="0" w:space="0" w:color="auto"/>
        <w:left w:val="none" w:sz="0" w:space="0" w:color="auto"/>
        <w:bottom w:val="none" w:sz="0" w:space="0" w:color="auto"/>
        <w:right w:val="none" w:sz="0" w:space="0" w:color="auto"/>
      </w:divBdr>
    </w:div>
    <w:div w:id="20459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e.careertech.org/sites/default/files/files/resources/Advance_CTE_Credit_for_Prior_Learning_April2019_0.pdf" TargetMode="External"/><Relationship Id="rId13" Type="http://schemas.openxmlformats.org/officeDocument/2006/relationships/hyperlink" Target="https://www.cde.state.co.us/postsecondary/1275recs_dec2015" TargetMode="External"/><Relationship Id="rId18" Type="http://schemas.openxmlformats.org/officeDocument/2006/relationships/hyperlink" Target="https://tnreconnect.gov/Choose-a-Degree-College-Path/Prior-Learning-Assessment-Informa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iche.edu/wp-content/uploads/2020/11/The-Current-State-of-PLA-Policies.pdf" TargetMode="External"/><Relationship Id="rId17" Type="http://schemas.openxmlformats.org/officeDocument/2006/relationships/hyperlink" Target="https://tnreconnect.gov/" TargetMode="External"/><Relationship Id="rId2" Type="http://schemas.openxmlformats.org/officeDocument/2006/relationships/numbering" Target="numbering.xml"/><Relationship Id="rId16" Type="http://schemas.openxmlformats.org/officeDocument/2006/relationships/hyperlink" Target="https://dlt.ri.gov/documents/pdf/apprenticeship/31Credit%20for%20Prior%20Learning.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che.edu/key-initiatives/recognition-of-learning/pla-covid-19/" TargetMode="External"/><Relationship Id="rId5" Type="http://schemas.openxmlformats.org/officeDocument/2006/relationships/webSettings" Target="webSettings.xml"/><Relationship Id="rId15" Type="http://schemas.openxmlformats.org/officeDocument/2006/relationships/hyperlink" Target="https://www.louisianabelieves.com/courses/all-things-jump-start" TargetMode="External"/><Relationship Id="rId10" Type="http://schemas.openxmlformats.org/officeDocument/2006/relationships/hyperlink" Target="https://www.wiche.edu/wp-content/uploads/2020/08/naspa-brief-082620-1.pdf" TargetMode="External"/><Relationship Id="rId19" Type="http://schemas.openxmlformats.org/officeDocument/2006/relationships/hyperlink" Target="https://news.tcc.edu/odu-technical-studies-agreement/" TargetMode="External"/><Relationship Id="rId4" Type="http://schemas.openxmlformats.org/officeDocument/2006/relationships/settings" Target="settings.xml"/><Relationship Id="rId9" Type="http://schemas.openxmlformats.org/officeDocument/2006/relationships/hyperlink" Target="https://files.eric.ed.gov/fulltext/ED605122.pdf" TargetMode="External"/><Relationship Id="rId14" Type="http://schemas.openxmlformats.org/officeDocument/2006/relationships/hyperlink" Target="https://campussuite-storage.s3.amazonaws.com/prod/1558543/91b64910-2d2e-11e8-8c09-0a7155647e8a/2234031/38331df0-7b96-11eb-8eb8-0a927e2b74df/file/1.023%20Credit%20for%20Prior%20Learning%20%20(Revised%2012.9.20).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3370ECF-1EB1-439A-8149-36DBE36A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Jeran Culina</dc:creator>
  <cp:keywords/>
  <dc:description/>
  <cp:lastModifiedBy>Dan Hinderliter</cp:lastModifiedBy>
  <cp:revision>3</cp:revision>
  <dcterms:created xsi:type="dcterms:W3CDTF">2021-04-23T13:59:00Z</dcterms:created>
  <dcterms:modified xsi:type="dcterms:W3CDTF">2021-04-23T15:45:00Z</dcterms:modified>
</cp:coreProperties>
</file>